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A504FF" w:rsidP="00A504FF" w:rsidR="00A504FF">
      <w:pPr>
        <w:pStyle w:val="10"/>
        <w:numPr>
          <w:ilvl w:val="0"/>
          <w:numId w:val="0"/>
        </w:numPr>
        <w:jc w:val="right"/>
        <w:rPr>
          <w:rFonts w:hAnsi="Times New Roman" w:ascii="Times New Roman"/>
          <w:sz w:val="26"/>
          <w:szCs w:val="26"/>
        </w:rPr>
      </w:pPr>
      <w:r w:rsidRPr="00564610">
        <w:rPr>
          <w:rFonts w:hAnsi="Times New Roman" w:ascii="Times New Roman"/>
          <w:sz w:val="26"/>
          <w:szCs w:val="26"/>
        </w:rPr>
        <w:t xml:space="preserve">Приложение</w:t>
      </w:r>
      <w:r w:rsidR="00B022BB">
        <w:rPr>
          <w:rFonts w:hAnsi="Times New Roman" w:ascii="Times New Roman"/>
          <w:sz w:val="26"/>
          <w:szCs w:val="26"/>
        </w:rPr>
        <w:t xml:space="preserve"> 9</w:t>
      </w:r>
      <w:bookmarkStart w:name="_GoBack" w:id="0"/>
      <w:bookmarkEnd w:id="0"/>
      <w:r w:rsidRPr="00564610">
        <w:rPr>
          <w:rFonts w:hAnsi="Times New Roman" w:ascii="Times New Roman"/>
          <w:color w:val="FF0000"/>
          <w:sz w:val="26"/>
          <w:szCs w:val="26"/>
        </w:rPr>
        <w:t xml:space="preserve"> </w:t>
      </w:r>
      <w:r w:rsidRPr="00564610">
        <w:rPr>
          <w:rFonts w:hAnsi="Times New Roman" w:ascii="Times New Roman"/>
          <w:sz w:val="26"/>
          <w:szCs w:val="26"/>
        </w:rPr>
        <w:t xml:space="preserve">к Учетной политике</w:t>
      </w:r>
    </w:p>
    <w:p w:rsidRDefault="00F34C3B" w:rsidP="00A504FF" w:rsidR="00F34C3B">
      <w:pPr>
        <w:pStyle w:val="10"/>
        <w:numPr>
          <w:ilvl w:val="0"/>
          <w:numId w:val="0"/>
        </w:numPr>
        <w:jc w:val="right"/>
        <w:rPr>
          <w:rFonts w:hAnsi="Times New Roman" w:ascii="Times New Roman"/>
          <w:sz w:val="26"/>
          <w:szCs w:val="26"/>
        </w:rPr>
      </w:pPr>
    </w:p>
    <w:p w:rsidRDefault="00FB59F7" w:rsidP="00FB59F7" w:rsidR="00FB59F7">
      <w:pPr>
        <w:contextualSpacing/>
        <w:jc w:val="center"/>
        <w:rPr>
          <w:rFonts w:eastAsia="Times New Roman"/>
          <w:b/>
        </w:rPr>
      </w:pPr>
      <w:r w:rsidRPr="00AD0135">
        <w:rPr>
          <w:rFonts w:eastAsia="Times New Roman"/>
          <w:b/>
        </w:rPr>
        <w:t xml:space="preserve">Положение о внутреннем контроле </w:t>
      </w:r>
    </w:p>
    <w:p w:rsidRDefault="00FB59F7" w:rsidP="00FB59F7" w:rsidR="00FB59F7" w:rsidRPr="00AD0135">
      <w:pPr>
        <w:contextualSpacing/>
        <w:jc w:val="center"/>
        <w:rPr>
          <w:rFonts w:eastAsia="Times New Roman"/>
          <w:b/>
        </w:rPr>
      </w:pPr>
      <w:r w:rsidRPr="00AD0135">
        <w:rPr>
          <w:rFonts w:eastAsia="Times New Roman"/>
          <w:b/>
        </w:rPr>
        <w:t xml:space="preserve">в НИУ ВШЭ</w:t>
      </w:r>
    </w:p>
    <w:p w:rsidRDefault="00FB59F7" w:rsidP="00FB59F7" w:rsidR="00FB59F7" w:rsidRPr="00AD0135">
      <w:pPr>
        <w:contextualSpacing/>
        <w:jc w:val="center"/>
        <w:rPr>
          <w:rFonts w:eastAsia="Times New Roman"/>
          <w:b/>
        </w:rPr>
      </w:pP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  <w:b/>
          <w:bCs/>
        </w:rPr>
        <w:t xml:space="preserve">1. Общие положения </w:t>
      </w:r>
    </w:p>
    <w:p w:rsidRDefault="00FB59F7" w:rsidP="00FB59F7" w:rsidR="00FB59F7" w:rsidRPr="00AD0135">
      <w:pPr>
        <w:ind w:firstLine="709"/>
        <w:contextualSpacing/>
        <w:rPr>
          <w:rFonts w:eastAsiaTheme="minorEastAsia"/>
        </w:rPr>
      </w:pPr>
      <w:r w:rsidRPr="00AD0135">
        <w:rPr>
          <w:rFonts w:eastAsia="Times New Roman"/>
        </w:rPr>
        <w:t xml:space="preserve">1.1. </w:t>
      </w:r>
      <w:proofErr w:type="gramStart"/>
      <w:r w:rsidRPr="00AD0135">
        <w:rPr>
          <w:rFonts w:eastAsiaTheme="minorEastAsia"/>
        </w:rPr>
        <w:t xml:space="preserve">Настоящее положение о внутреннем контроле</w:t>
      </w:r>
      <w:r>
        <w:rPr>
          <w:rFonts w:eastAsiaTheme="minorEastAsia"/>
        </w:rPr>
        <w:t xml:space="preserve"> в НИУ ВШЭ</w:t>
      </w:r>
      <w:r w:rsidRPr="00AD0135">
        <w:rPr>
          <w:rFonts w:eastAsiaTheme="minorEastAsia"/>
        </w:rPr>
        <w:t xml:space="preserve"> разработано в соответствии с требованиями </w:t>
      </w:r>
      <w:hyperlink r:id="rId8" w:anchor="/document/70103036/entry/19" w:history="true" w:tooltip="Открыть документ в системе Гарант" w:tgtFrame="_blank">
        <w:r w:rsidRPr="00AD0135">
          <w:rPr>
            <w:rFonts w:eastAsiaTheme="minorEastAsia"/>
            <w:color w:val="000000"/>
          </w:rPr>
          <w:t xml:space="preserve">Федерального закона</w:t>
        </w:r>
      </w:hyperlink>
      <w:r w:rsidRPr="00AD0135">
        <w:rPr>
          <w:rFonts w:eastAsiaTheme="minorEastAsia"/>
        </w:rPr>
        <w:t xml:space="preserve"> от 06.12.2011 № 402-ФЗ "О бухгалтерском учете", федеральными стандартами бухгалтерского учета для организаций государственного сектора, приказами Минфина России </w:t>
      </w:r>
      <w:hyperlink r:id="rId9" w:anchor="/document/12180849/entry/0" w:history="true" w:tooltip="Открыть документ в системе Гарант" w:tgtFrame="_blank">
        <w:r w:rsidRPr="00AD0135">
          <w:rPr>
            <w:rFonts w:eastAsiaTheme="minorEastAsia"/>
            <w:color w:val="000000"/>
          </w:rPr>
          <w:t xml:space="preserve">от 01.12.2010 № 157н</w:t>
        </w:r>
      </w:hyperlink>
      <w:r w:rsidRPr="00AD0135">
        <w:rPr>
          <w:rFonts w:eastAsiaTheme="minorEastAsia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 w:rsidRPr="00AD0135">
        <w:rPr>
          <w:rFonts w:eastAsiaTheme="minorEastAsia"/>
        </w:rPr>
        <w:t xml:space="preserve"> (муниципальных) учреждений и Инструкции по его применению", </w:t>
      </w:r>
      <w:hyperlink r:id="rId10" w:anchor="/document/12181733/entry/0" w:history="true" w:tooltip="Открыть документ в системе Гарант" w:tgtFrame="_blank">
        <w:r w:rsidRPr="00AD0135">
          <w:rPr>
            <w:rFonts w:eastAsiaTheme="minorEastAsia"/>
            <w:color w:val="000000"/>
          </w:rPr>
          <w:t xml:space="preserve">от 23.12.2010 № 183н "Об утверждении Плана счетов бухгалтерского учета автономных учреждений и Инструкции по его применению"</w:t>
        </w:r>
      </w:hyperlink>
      <w:r w:rsidRPr="00AD0135">
        <w:rPr>
          <w:rFonts w:eastAsiaTheme="minorEastAsia"/>
        </w:rPr>
        <w:t xml:space="preserve"> и уставом НИУ ВШЭ. Положение устанавливает цели, правила и принципы проведения внутреннего контроля</w:t>
      </w:r>
      <w:r>
        <w:rPr>
          <w:rFonts w:eastAsiaTheme="minorEastAsia"/>
        </w:rPr>
        <w:t xml:space="preserve"> в целях обеспечения достоверности данных бухгалтерского учета и отчетности НИУ ВШЭ</w:t>
      </w:r>
      <w:r w:rsidRPr="00AD0135">
        <w:rPr>
          <w:rFonts w:eastAsiaTheme="minorEastAsia"/>
        </w:rPr>
        <w:t xml:space="preserve">.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1.2. Основной целью внутреннего контроля является подтверждение достоверности бухгалтерского учета и отчетности </w:t>
      </w:r>
      <w:r>
        <w:rPr>
          <w:rFonts w:eastAsia="Times New Roman"/>
        </w:rPr>
        <w:t xml:space="preserve">НИУ ВШЭ</w:t>
      </w:r>
      <w:r w:rsidRPr="00AD0135">
        <w:rPr>
          <w:rFonts w:eastAsia="Times New Roman"/>
        </w:rPr>
        <w:t xml:space="preserve">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точность и полноту документации бухгалтерского учета;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своевременность подготовки достоверной бухгалтерской отчетности;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предотвращение ошибок и искажений</w:t>
      </w:r>
      <w:r>
        <w:rPr>
          <w:rFonts w:eastAsia="Times New Roman" w:hAnsi="Times New Roman" w:ascii="Times New Roman"/>
          <w:sz w:val="26"/>
          <w:szCs w:val="26"/>
        </w:rPr>
        <w:t xml:space="preserve"> данных бухгалтерского учета</w:t>
      </w:r>
      <w:r w:rsidRPr="00AD0135">
        <w:rPr>
          <w:rFonts w:eastAsia="Times New Roman" w:hAnsi="Times New Roman" w:ascii="Times New Roman"/>
          <w:sz w:val="26"/>
          <w:szCs w:val="26"/>
        </w:rPr>
        <w:t xml:space="preserve">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сохранность имущества учреждения.</w:t>
      </w:r>
    </w:p>
    <w:p w:rsidRDefault="00FB59F7" w:rsidP="00FB59F7" w:rsidR="00FB59F7" w:rsidRPr="00AD0135">
      <w:pPr>
        <w:tabs>
          <w:tab w:pos="9355" w:val="right"/>
        </w:tabs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1.3. Основн</w:t>
      </w:r>
      <w:r>
        <w:rPr>
          <w:rFonts w:eastAsia="Times New Roman"/>
        </w:rPr>
        <w:t xml:space="preserve">ой</w:t>
      </w:r>
      <w:r w:rsidRPr="00AD0135">
        <w:rPr>
          <w:rFonts w:eastAsia="Times New Roman"/>
        </w:rPr>
        <w:t xml:space="preserve"> задач</w:t>
      </w:r>
      <w:r>
        <w:rPr>
          <w:rFonts w:eastAsia="Times New Roman"/>
        </w:rPr>
        <w:t xml:space="preserve">ей внутреннего контроля является </w:t>
      </w:r>
      <w:r w:rsidRPr="00AD0135">
        <w:rPr>
          <w:rFonts w:eastAsia="Times New Roman"/>
        </w:rPr>
        <w:t xml:space="preserve"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в соответствии с требованиями нормативных правовых актов</w:t>
      </w:r>
      <w:r>
        <w:rPr>
          <w:rFonts w:eastAsia="Times New Roman"/>
        </w:rPr>
        <w:t xml:space="preserve">.</w:t>
      </w:r>
    </w:p>
    <w:p w:rsidRDefault="00FB59F7" w:rsidP="00FB59F7" w:rsidR="00FB59F7" w:rsidRPr="00AD0135">
      <w:pPr>
        <w:tabs>
          <w:tab w:pos="9355" w:val="right"/>
        </w:tabs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1.4.</w:t>
      </w:r>
      <w:r>
        <w:rPr>
          <w:rFonts w:eastAsia="Times New Roman"/>
        </w:rPr>
        <w:t xml:space="preserve"> </w:t>
      </w:r>
      <w:r w:rsidRPr="00AD0135">
        <w:rPr>
          <w:rFonts w:eastAsia="Times New Roman"/>
        </w:rPr>
        <w:t xml:space="preserve">Внутренний контроль основываются на следующих принципах: 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принцип законности – неуклонное и точное соблюдение норм и правил, установленных нор</w:t>
      </w:r>
      <w:r>
        <w:rPr>
          <w:rFonts w:eastAsia="Times New Roman" w:hAnsi="Times New Roman" w:ascii="Times New Roman"/>
          <w:sz w:val="26"/>
          <w:szCs w:val="26"/>
        </w:rPr>
        <w:t xml:space="preserve">мативными законодательством РФ, внутренними локальными актами НИУ ВШЭ;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принцип системности – проведение контрольных </w:t>
      </w:r>
      <w:proofErr w:type="gramStart"/>
      <w:r w:rsidRPr="00AD0135">
        <w:rPr>
          <w:rFonts w:eastAsia="Times New Roman" w:hAnsi="Times New Roman" w:ascii="Times New Roman"/>
          <w:sz w:val="26"/>
          <w:szCs w:val="26"/>
        </w:rPr>
        <w:t xml:space="preserve">мероприятий всех сторон деятельности объекта внутреннего контроля</w:t>
      </w:r>
      <w:proofErr w:type="gramEnd"/>
      <w:r w:rsidRPr="00AD0135">
        <w:rPr>
          <w:rFonts w:eastAsia="Times New Roman" w:hAnsi="Times New Roman" w:ascii="Times New Roman"/>
          <w:sz w:val="26"/>
          <w:szCs w:val="26"/>
        </w:rPr>
        <w:t xml:space="preserve"> и его взаимосвязей в структуре управления.</w:t>
      </w:r>
    </w:p>
    <w:p w:rsidRDefault="00FB59F7" w:rsidP="00FB59F7" w:rsidR="00FB59F7" w:rsidRPr="00AD0135">
      <w:pPr>
        <w:tabs>
          <w:tab w:pos="9355" w:val="right"/>
        </w:tabs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lastRenderedPageBreak/>
        <w:t xml:space="preserve">1.5. Система внутреннего контроля включает в себя следующие взаимосвязанные компоненты: 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контрольная среда, включающая в себя соблюдение принципов осуществления внутреннего контроля, профессиональную и коммуникативную компетентность </w:t>
      </w:r>
      <w:r>
        <w:rPr>
          <w:rFonts w:eastAsia="Times New Roman" w:hAnsi="Times New Roman" w:ascii="Times New Roman"/>
          <w:sz w:val="26"/>
          <w:szCs w:val="26"/>
        </w:rPr>
        <w:t xml:space="preserve">работников НИУ ВШЭ</w:t>
      </w:r>
      <w:r w:rsidRPr="00AD0135">
        <w:rPr>
          <w:rFonts w:eastAsia="Times New Roman" w:hAnsi="Times New Roman" w:ascii="Times New Roman"/>
          <w:sz w:val="26"/>
          <w:szCs w:val="26"/>
        </w:rPr>
        <w:t xml:space="preserve">, их стиль работы, организационную структуру, наделение ответственностью и полномочиями; 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</w:t>
      </w:r>
      <w:r>
        <w:rPr>
          <w:rFonts w:eastAsia="Times New Roman" w:hAnsi="Times New Roman" w:ascii="Times New Roman"/>
          <w:sz w:val="26"/>
          <w:szCs w:val="26"/>
        </w:rPr>
        <w:t xml:space="preserve">. </w:t>
      </w:r>
      <w:r w:rsidR="00CC0D87">
        <w:rPr>
          <w:rFonts w:eastAsia="Times New Roman" w:hAnsi="Times New Roman" w:ascii="Times New Roman"/>
          <w:sz w:val="26"/>
          <w:szCs w:val="26"/>
        </w:rPr>
        <w:t xml:space="preserve">Возможные негативные события (риски)</w:t>
      </w:r>
      <w:r>
        <w:rPr>
          <w:rFonts w:eastAsia="Times New Roman" w:hAnsi="Times New Roman" w:ascii="Times New Roman"/>
          <w:sz w:val="26"/>
          <w:szCs w:val="26"/>
        </w:rPr>
        <w:t xml:space="preserve"> пр</w:t>
      </w:r>
      <w:r w:rsidR="00CC0D87">
        <w:rPr>
          <w:rFonts w:eastAsia="Times New Roman" w:hAnsi="Times New Roman" w:ascii="Times New Roman"/>
          <w:sz w:val="26"/>
          <w:szCs w:val="26"/>
        </w:rPr>
        <w:t xml:space="preserve">и организации и ведении бухгалтерского учета, формировании</w:t>
      </w:r>
      <w:r>
        <w:rPr>
          <w:rFonts w:eastAsia="Times New Roman" w:hAnsi="Times New Roman" w:ascii="Times New Roman"/>
          <w:sz w:val="26"/>
          <w:szCs w:val="26"/>
        </w:rPr>
        <w:t xml:space="preserve"> отчетности представлена в Приложении к Положению о внутреннем контроле НИУ ВШЭ.</w:t>
      </w:r>
      <w:r w:rsidRPr="00AD0135">
        <w:rPr>
          <w:rFonts w:eastAsia="Times New Roman" w:hAnsi="Times New Roman" w:ascii="Times New Roman"/>
          <w:sz w:val="26"/>
          <w:szCs w:val="26"/>
        </w:rPr>
        <w:t xml:space="preserve">; 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Default="00FB59F7" w:rsidP="00FB59F7" w:rsidR="00FB59F7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AD0135">
        <w:rPr>
          <w:rFonts w:eastAsia="Times New Roman" w:hAnsi="Times New Roman" w:ascii="Times New Roman"/>
          <w:sz w:val="26"/>
          <w:szCs w:val="26"/>
        </w:rPr>
        <w:t xml:space="preserve"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Default="00FB59F7" w:rsidP="00FB59F7" w:rsidR="00FB59F7" w:rsidRPr="00AD0135">
      <w:pPr>
        <w:pStyle w:val="a3"/>
        <w:ind w:left="709"/>
        <w:jc w:val="both"/>
        <w:rPr>
          <w:rFonts w:eastAsia="Times New Roman" w:hAnsi="Times New Roman" w:ascii="Times New Roman"/>
          <w:sz w:val="26"/>
          <w:szCs w:val="26"/>
        </w:rPr>
      </w:pP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  <w:b/>
          <w:bCs/>
        </w:rPr>
        <w:t xml:space="preserve">2. Организация внутреннего контроля </w:t>
      </w:r>
    </w:p>
    <w:p w:rsidRDefault="00FB59F7" w:rsidP="00FB59F7" w:rsidR="00FB59F7" w:rsidRPr="00AD0135">
      <w:pPr>
        <w:tabs>
          <w:tab w:pos="9355" w:val="right"/>
        </w:tabs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2.1. Внутренний контроль осуществляется в следующих формах: 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  <w:b/>
        </w:rPr>
        <w:t xml:space="preserve">Предварительный контроль:</w:t>
      </w:r>
      <w:r w:rsidRPr="00AD0135">
        <w:rPr>
          <w:rFonts w:eastAsia="Times New Roman"/>
        </w:rPr>
        <w:t xml:space="preserve"> </w:t>
      </w:r>
    </w:p>
    <w:p w:rsidRDefault="00FB59F7" w:rsidP="00FB59F7" w:rsidR="00FB59F7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Контроль осуществляется до регистрации хозяйственной операции. Позволяет определить, правомерность проведения операции, полноту и правильность отражения операции в первичном учетном документе</w:t>
      </w:r>
      <w:r>
        <w:rPr>
          <w:rFonts w:eastAsia="Times New Roman"/>
        </w:rPr>
        <w:t xml:space="preserve">.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Предварительный контроль осуществля</w:t>
      </w:r>
      <w:r>
        <w:rPr>
          <w:rFonts w:eastAsia="Times New Roman"/>
        </w:rPr>
        <w:t xml:space="preserve">ется работниками структурных подразделений НИУ ВШЭ</w:t>
      </w:r>
      <w:r w:rsidRPr="00AD0135">
        <w:rPr>
          <w:rFonts w:eastAsia="Times New Roman"/>
        </w:rPr>
        <w:t xml:space="preserve"> при оформлении фактов хозяйственной жизни.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К мероприятиям предварительного контроля относятся:</w:t>
      </w:r>
    </w:p>
    <w:p w:rsidRDefault="00FB59F7" w:rsidP="00FB59F7" w:rsidR="00FB59F7" w:rsidRPr="00FF47EB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FF47EB">
        <w:rPr>
          <w:rFonts w:eastAsia="Times New Roman" w:hAnsi="Times New Roman" w:ascii="Times New Roman"/>
          <w:sz w:val="26"/>
          <w:szCs w:val="26"/>
        </w:rPr>
        <w:t xml:space="preserve">проверка документов до совершения хозяйственных операций в соответствии с правилами и графиком документооборота;</w:t>
      </w:r>
    </w:p>
    <w:p w:rsidRDefault="00FB59F7" w:rsidP="00FB59F7" w:rsidR="00FB59F7" w:rsidRPr="00FF47EB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proofErr w:type="gramStart"/>
      <w:r w:rsidRPr="00FF47EB">
        <w:rPr>
          <w:rFonts w:eastAsia="Times New Roman" w:hAnsi="Times New Roman" w:ascii="Times New Roman"/>
          <w:sz w:val="26"/>
          <w:szCs w:val="26"/>
        </w:rPr>
        <w:t xml:space="preserve">контроль за</w:t>
      </w:r>
      <w:proofErr w:type="gramEnd"/>
      <w:r w:rsidRPr="00FF47EB">
        <w:rPr>
          <w:rFonts w:eastAsia="Times New Roman" w:hAnsi="Times New Roman" w:ascii="Times New Roman"/>
          <w:sz w:val="26"/>
          <w:szCs w:val="26"/>
        </w:rPr>
        <w:t xml:space="preserve"> принятием обязательств;</w:t>
      </w:r>
    </w:p>
    <w:p w:rsidRDefault="00FB59F7" w:rsidP="00FB59F7" w:rsidR="00FB59F7" w:rsidRPr="00FF47EB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FF47EB">
        <w:rPr>
          <w:rFonts w:eastAsia="Times New Roman" w:hAnsi="Times New Roman" w:ascii="Times New Roman"/>
          <w:sz w:val="26"/>
          <w:szCs w:val="26"/>
        </w:rPr>
        <w:t xml:space="preserve">проверка законности и экономической целесообразности проектов заключаемых </w:t>
      </w:r>
      <w:r>
        <w:rPr>
          <w:rFonts w:eastAsia="Times New Roman" w:hAnsi="Times New Roman" w:ascii="Times New Roman"/>
          <w:sz w:val="26"/>
          <w:szCs w:val="26"/>
        </w:rPr>
        <w:t xml:space="preserve">договоров</w:t>
      </w:r>
      <w:r w:rsidRPr="00FF47EB">
        <w:rPr>
          <w:rFonts w:eastAsia="Times New Roman" w:hAnsi="Times New Roman" w:ascii="Times New Roman"/>
          <w:sz w:val="26"/>
          <w:szCs w:val="26"/>
        </w:rPr>
        <w:t xml:space="preserve">;</w:t>
      </w:r>
    </w:p>
    <w:p w:rsidRDefault="00FB59F7" w:rsidP="00FB59F7" w:rsidR="00FB59F7" w:rsidRPr="00FF47EB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eastAsia="Times New Roman" w:hAnsi="Times New Roman" w:ascii="Times New Roman"/>
          <w:sz w:val="26"/>
          <w:szCs w:val="26"/>
        </w:rPr>
      </w:pPr>
      <w:r w:rsidRPr="00FF47EB">
        <w:rPr>
          <w:rFonts w:eastAsia="Times New Roman" w:hAnsi="Times New Roman" w:ascii="Times New Roman"/>
          <w:sz w:val="26"/>
          <w:szCs w:val="26"/>
        </w:rPr>
        <w:t xml:space="preserve">проверка бюджетной, </w:t>
      </w:r>
      <w:r>
        <w:rPr>
          <w:rFonts w:eastAsia="Times New Roman" w:hAnsi="Times New Roman" w:ascii="Times New Roman"/>
          <w:sz w:val="26"/>
          <w:szCs w:val="26"/>
        </w:rPr>
        <w:t xml:space="preserve">бухгалтерской, </w:t>
      </w:r>
      <w:r w:rsidRPr="00FF47EB">
        <w:rPr>
          <w:rFonts w:eastAsia="Times New Roman" w:hAnsi="Times New Roman" w:ascii="Times New Roman"/>
          <w:sz w:val="26"/>
          <w:szCs w:val="26"/>
        </w:rPr>
        <w:t xml:space="preserve">статистической, налоговой и другой отчетности до утверждения или подписания.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  <w:b/>
        </w:rPr>
        <w:t xml:space="preserve">Текущий контроль:</w:t>
      </w:r>
      <w:r w:rsidRPr="00AD0135">
        <w:rPr>
          <w:rFonts w:eastAsia="Times New Roman"/>
        </w:rPr>
        <w:t xml:space="preserve"> 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Контроль осуществляется в виде повседневного анализа и контроля правильности документального оформления фактов хозяйственной жизни, их регистрации в первичных учетных документах, ведения бухгалтерского учета. 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Проведение</w:t>
      </w:r>
      <w:r w:rsidRPr="00AD0135">
        <w:rPr>
          <w:rFonts w:eastAsia="Times New Roman"/>
        </w:rPr>
        <w:t xml:space="preserve"> текущего контроля </w:t>
      </w:r>
      <w:r>
        <w:rPr>
          <w:rFonts w:eastAsia="Times New Roman"/>
        </w:rPr>
        <w:t xml:space="preserve">осуществляют</w:t>
      </w:r>
      <w:r w:rsidRPr="00AD0135">
        <w:rPr>
          <w:rFonts w:eastAsia="Times New Roman"/>
        </w:rPr>
        <w:t xml:space="preserve"> все </w:t>
      </w:r>
      <w:r>
        <w:rPr>
          <w:rFonts w:eastAsia="Times New Roman"/>
        </w:rPr>
        <w:t xml:space="preserve">работники НИУ ВШЭ</w:t>
      </w:r>
      <w:r w:rsidRPr="00AD0135">
        <w:rPr>
          <w:rFonts w:eastAsia="Times New Roman"/>
        </w:rPr>
        <w:t xml:space="preserve"> при формировании и регистрации первичных учетных документов и регистров бухгалтерского учета в соответствии с утвержденным Графиком документооборота.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К мероприятиям текущего контроля относятся: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AD0135">
        <w:rPr>
          <w:rFonts w:hAnsi="Times New Roman" w:ascii="Times New Roman"/>
          <w:sz w:val="26"/>
          <w:szCs w:val="26"/>
        </w:rPr>
        <w:lastRenderedPageBreak/>
        <w:t xml:space="preserve">проверка расходных денежных документов (расчетно-платежных </w:t>
      </w:r>
      <w:r w:rsidRPr="00FF47EB">
        <w:rPr>
          <w:rFonts w:eastAsia="Times New Roman" w:hAnsi="Times New Roman" w:ascii="Times New Roman"/>
          <w:sz w:val="26"/>
          <w:szCs w:val="26"/>
        </w:rPr>
        <w:t xml:space="preserve">ведомостей</w:t>
      </w:r>
      <w:r w:rsidRPr="00AD0135">
        <w:rPr>
          <w:rFonts w:hAnsi="Times New Roman" w:ascii="Times New Roman"/>
          <w:sz w:val="26"/>
          <w:szCs w:val="26"/>
        </w:rPr>
        <w:t xml:space="preserve">, заявок на кассовый расход, счетов и т.п.) до их оплаты. Фактом прохождения контроля является разрешение (санкционирование) принять документы к оплате;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AD0135">
        <w:rPr>
          <w:rFonts w:hAnsi="Times New Roman" w:ascii="Times New Roman"/>
          <w:sz w:val="26"/>
          <w:szCs w:val="26"/>
        </w:rPr>
        <w:t xml:space="preserve">проверка полноты оприходования полученных наличных денежных средств;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proofErr w:type="gramStart"/>
      <w:r w:rsidRPr="00AD0135">
        <w:rPr>
          <w:rFonts w:hAnsi="Times New Roman" w:ascii="Times New Roman"/>
          <w:sz w:val="26"/>
          <w:szCs w:val="26"/>
        </w:rPr>
        <w:t xml:space="preserve">контроль за</w:t>
      </w:r>
      <w:proofErr w:type="gramEnd"/>
      <w:r w:rsidRPr="00AD0135">
        <w:rPr>
          <w:rFonts w:hAnsi="Times New Roman" w:ascii="Times New Roman"/>
          <w:sz w:val="26"/>
          <w:szCs w:val="26"/>
        </w:rPr>
        <w:t xml:space="preserve"> взысканием дебиторской и погашением кредиторской задолженности;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AD0135">
        <w:rPr>
          <w:rFonts w:hAnsi="Times New Roman" w:ascii="Times New Roman"/>
          <w:sz w:val="26"/>
          <w:szCs w:val="26"/>
        </w:rPr>
        <w:t xml:space="preserve">сверка данных аналитического учета с данными синтетического учета.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  <w:b/>
        </w:rPr>
      </w:pPr>
      <w:r w:rsidRPr="00AD0135">
        <w:rPr>
          <w:rFonts w:eastAsia="Times New Roman"/>
          <w:b/>
        </w:rPr>
        <w:t xml:space="preserve">Последующий контроль: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Контроль проводится по итогам сове</w:t>
      </w:r>
      <w:r>
        <w:rPr>
          <w:rFonts w:eastAsia="Times New Roman"/>
        </w:rPr>
        <w:t xml:space="preserve">ршения хозяйственных операций. О</w:t>
      </w:r>
      <w:r w:rsidRPr="00AD0135">
        <w:rPr>
          <w:rFonts w:eastAsia="Times New Roman"/>
        </w:rPr>
        <w:t xml:space="preserve">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создается </w:t>
      </w:r>
      <w:r>
        <w:rPr>
          <w:rFonts w:eastAsia="Times New Roman"/>
        </w:rPr>
        <w:t xml:space="preserve">к</w:t>
      </w:r>
      <w:r w:rsidRPr="00AD0135">
        <w:rPr>
          <w:rFonts w:eastAsia="Times New Roman"/>
        </w:rPr>
        <w:t xml:space="preserve">омиссия</w:t>
      </w:r>
      <w:r>
        <w:rPr>
          <w:rFonts w:eastAsia="Times New Roman"/>
        </w:rPr>
        <w:t xml:space="preserve">, состав к</w:t>
      </w:r>
      <w:r w:rsidRPr="00AD0135">
        <w:rPr>
          <w:rFonts w:eastAsia="Times New Roman"/>
        </w:rPr>
        <w:t xml:space="preserve">омиссии определяются приказом. 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К мероприятиям последующего контроля относятся: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AD0135">
        <w:rPr>
          <w:rFonts w:hAnsi="Times New Roman" w:ascii="Times New Roman"/>
          <w:sz w:val="26"/>
          <w:szCs w:val="26"/>
        </w:rPr>
        <w:t xml:space="preserve">проверка результатов инвентаризации имущества и обязательств;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AD0135">
        <w:rPr>
          <w:rFonts w:hAnsi="Times New Roman" w:ascii="Times New Roman"/>
          <w:sz w:val="26"/>
          <w:szCs w:val="26"/>
        </w:rPr>
        <w:t xml:space="preserve">проведение сверки расчетов с контрагентами.</w:t>
      </w:r>
    </w:p>
    <w:p w:rsidRDefault="00FB59F7" w:rsidP="00FB59F7" w:rsidR="00FB59F7" w:rsidRPr="00AD0135">
      <w:pPr>
        <w:tabs>
          <w:tab w:pos="9355" w:val="right"/>
        </w:tabs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2.2. </w:t>
      </w:r>
      <w:r>
        <w:rPr>
          <w:rFonts w:eastAsia="Times New Roman"/>
        </w:rPr>
        <w:t xml:space="preserve">В НИУ ВШЭ</w:t>
      </w:r>
      <w:r w:rsidRPr="00AD0135">
        <w:rPr>
          <w:rFonts w:eastAsia="Times New Roman"/>
        </w:rPr>
        <w:t xml:space="preserve"> устанавливается следующий </w:t>
      </w:r>
      <w:r>
        <w:rPr>
          <w:rFonts w:eastAsia="Times New Roman"/>
        </w:rPr>
        <w:t xml:space="preserve">г</w:t>
      </w:r>
      <w:r w:rsidRPr="00AD0135">
        <w:rPr>
          <w:rFonts w:eastAsia="Times New Roman"/>
        </w:rPr>
        <w:t xml:space="preserve">рафик</w:t>
      </w:r>
      <w:r>
        <w:rPr>
          <w:rFonts w:eastAsia="Times New Roman"/>
        </w:rPr>
        <w:t xml:space="preserve"> плановых</w:t>
      </w:r>
      <w:r w:rsidRPr="00AD0135">
        <w:rPr>
          <w:rFonts w:eastAsia="Times New Roman"/>
        </w:rPr>
        <w:t xml:space="preserve"> контрольных мероприятий:</w:t>
      </w:r>
      <w:r w:rsidRPr="00AD0135">
        <w:rPr>
          <w:rFonts w:eastAsia="Times New Roman"/>
        </w:rPr>
        <w:tab/>
      </w:r>
    </w:p>
    <w:tbl>
      <w:tblPr>
        <w:tblW w:type="dxa" w:w="9354"/>
        <w:jc w:val="center"/>
        <w:tblCellSpacing w:type="nil" w:w="5"/>
        <w:tblLayout w:type="fixed"/>
        <w:tblCellMar>
          <w:left w:type="dxa" w:w="75"/>
          <w:right w:type="dxa" w:w="75"/>
        </w:tblCellMar>
        <w:tblLook w:val="0000" w:noVBand="0" w:noHBand="0" w:lastColumn="0" w:firstColumn="0" w:lastRow="0" w:firstRow="0"/>
      </w:tblPr>
      <w:tblGrid>
        <w:gridCol w:w="3798"/>
        <w:gridCol w:w="3288"/>
        <w:gridCol w:w="2268"/>
      </w:tblGrid>
      <w:tr w:rsidTr="008C25BA" w:rsidR="00FB59F7" w:rsidRPr="00FB59F7">
        <w:trPr>
          <w:tblHeader/>
          <w:tblCellSpacing w:type="nil" w:w="5"/>
          <w:jc w:val="center"/>
        </w:trPr>
        <w:tc>
          <w:tcPr>
            <w:tcW w:type="dxa" w:w="379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B59F7" w:rsidP="008C25BA" w:rsidR="00FB59F7" w:rsidRPr="00FB59F7">
            <w:pPr>
              <w:pStyle w:val="ConsPlusCell"/>
              <w:contextualSpacing/>
              <w:jc w:val="center"/>
              <w:rPr>
                <w:rFonts w:cs="Times New Roman" w:hAnsi="Times New Roman" w:ascii="Times New Roman"/>
                <w:b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b/>
                <w:sz w:val="22"/>
                <w:szCs w:val="22"/>
              </w:rPr>
              <w:t xml:space="preserve">Проводимое мероприятие контроля</w:t>
            </w:r>
          </w:p>
        </w:tc>
        <w:tc>
          <w:tcPr>
            <w:tcW w:type="dxa" w:w="328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B59F7" w:rsidP="008C25BA" w:rsidR="00FB59F7" w:rsidRPr="00FB59F7">
            <w:pPr>
              <w:pStyle w:val="ConsPlusCell"/>
              <w:contextualSpacing/>
              <w:jc w:val="center"/>
              <w:rPr>
                <w:rFonts w:cs="Times New Roman" w:hAnsi="Times New Roman" w:ascii="Times New Roman"/>
                <w:b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b/>
                <w:sz w:val="22"/>
                <w:szCs w:val="22"/>
              </w:rPr>
              <w:t xml:space="preserve">Периодичность проведения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B59F7" w:rsidP="008C25BA" w:rsidR="00FB59F7" w:rsidRPr="00FB59F7">
            <w:pPr>
              <w:pStyle w:val="ConsPlusCell"/>
              <w:contextualSpacing/>
              <w:jc w:val="center"/>
              <w:rPr>
                <w:rFonts w:cs="Times New Roman" w:hAnsi="Times New Roman" w:ascii="Times New Roman"/>
                <w:b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b/>
                <w:sz w:val="22"/>
                <w:szCs w:val="22"/>
              </w:rPr>
              <w:t xml:space="preserve">Документ, оформляющий результат</w:t>
            </w:r>
          </w:p>
        </w:tc>
      </w:tr>
      <w:tr w:rsidTr="008C25BA" w:rsidR="00FB59F7" w:rsidRPr="00FB59F7">
        <w:trPr>
          <w:trHeight w:val="400"/>
          <w:tblCellSpacing w:type="nil" w:w="5"/>
          <w:jc w:val="center"/>
        </w:trPr>
        <w:tc>
          <w:tcPr>
            <w:tcW w:type="dxa" w:w="3798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B59F7" w:rsidP="008C25BA" w:rsidR="00FB59F7" w:rsidRPr="00FB59F7">
            <w:pPr>
              <w:pStyle w:val="ConsPlusCell"/>
              <w:contextualSpacing/>
              <w:rPr>
                <w:rFonts w:cs="Times New Roman" w:hAnsi="Times New Roman" w:ascii="Times New Roman"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sz w:val="22"/>
                <w:szCs w:val="22"/>
              </w:rPr>
              <w:t xml:space="preserve">Проверка расчетов с поставщиками        </w:t>
            </w:r>
            <w:r w:rsidRPr="00FB59F7">
              <w:rPr>
                <w:rFonts w:cs="Times New Roman" w:hAnsi="Times New Roman" w:ascii="Times New Roman"/>
                <w:sz w:val="22"/>
                <w:szCs w:val="22"/>
              </w:rPr>
              <w:br/>
              <w:t xml:space="preserve">и подрядчиками, заказчиками </w:t>
            </w:r>
          </w:p>
        </w:tc>
        <w:tc>
          <w:tcPr>
            <w:tcW w:type="dxa" w:w="3288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B59F7" w:rsidP="008C25BA" w:rsidR="00FB59F7" w:rsidRPr="00FB59F7">
            <w:pPr>
              <w:pStyle w:val="ConsPlusCell"/>
              <w:contextualSpacing/>
              <w:jc w:val="center"/>
              <w:rPr>
                <w:rFonts w:cs="Times New Roman" w:hAnsi="Times New Roman" w:ascii="Times New Roman"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sz w:val="22"/>
                <w:szCs w:val="22"/>
              </w:rPr>
              <w:t xml:space="preserve">Один раз в квартал или по завершению расчетов по условиям договора</w:t>
            </w:r>
          </w:p>
        </w:tc>
        <w:tc>
          <w:tcPr>
            <w:tcW w:type="dxa" w:w="2268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B59F7" w:rsidP="008C25BA" w:rsidR="00FB59F7" w:rsidRPr="00FB59F7">
            <w:pPr>
              <w:pStyle w:val="ConsPlusCell"/>
              <w:contextualSpacing/>
              <w:jc w:val="center"/>
              <w:rPr>
                <w:rFonts w:cs="Times New Roman" w:hAnsi="Times New Roman" w:ascii="Times New Roman"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sz w:val="22"/>
                <w:szCs w:val="22"/>
              </w:rPr>
              <w:t xml:space="preserve">Акт сверки расчетов</w:t>
            </w:r>
          </w:p>
        </w:tc>
      </w:tr>
      <w:tr w:rsidTr="008C25BA" w:rsidR="00FB59F7" w:rsidRPr="00FB59F7">
        <w:trPr>
          <w:trHeight w:val="400"/>
          <w:tblCellSpacing w:type="nil" w:w="5"/>
          <w:jc w:val="center"/>
        </w:trPr>
        <w:tc>
          <w:tcPr>
            <w:tcW w:type="dxa" w:w="3798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B59F7" w:rsidP="008C25BA" w:rsidR="00FB59F7" w:rsidRPr="00FB59F7">
            <w:pPr>
              <w:pStyle w:val="ConsPlusCell"/>
              <w:contextualSpacing/>
              <w:rPr>
                <w:rFonts w:cs="Times New Roman" w:hAnsi="Times New Roman" w:ascii="Times New Roman"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sz w:val="22"/>
                <w:szCs w:val="22"/>
              </w:rPr>
              <w:t xml:space="preserve">Проверка денежной наличности в кассе учреждения</w:t>
            </w:r>
          </w:p>
        </w:tc>
        <w:tc>
          <w:tcPr>
            <w:tcW w:type="dxa" w:w="3288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B59F7" w:rsidP="008C25BA" w:rsidR="00FB59F7" w:rsidRPr="00FB59F7">
            <w:pPr>
              <w:pStyle w:val="ConsPlusCell"/>
              <w:contextualSpacing/>
              <w:jc w:val="center"/>
              <w:rPr>
                <w:rFonts w:cs="Times New Roman" w:hAnsi="Times New Roman" w:ascii="Times New Roman"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sz w:val="22"/>
                <w:szCs w:val="22"/>
              </w:rPr>
              <w:t xml:space="preserve">Один раз в квартал</w:t>
            </w:r>
          </w:p>
        </w:tc>
        <w:tc>
          <w:tcPr>
            <w:tcW w:type="dxa" w:w="2268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B59F7" w:rsidP="008C25BA" w:rsidR="00FB59F7" w:rsidRPr="00FB59F7">
            <w:pPr>
              <w:pStyle w:val="ConsPlusCell"/>
              <w:contextualSpacing/>
              <w:jc w:val="center"/>
              <w:rPr>
                <w:rFonts w:cs="Times New Roman" w:hAnsi="Times New Roman" w:ascii="Times New Roman"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sz w:val="22"/>
                <w:szCs w:val="22"/>
              </w:rPr>
              <w:t xml:space="preserve">Инвентаризационная опись (ф. 0504088)</w:t>
            </w:r>
          </w:p>
        </w:tc>
      </w:tr>
      <w:tr w:rsidTr="008C25BA" w:rsidR="00FB59F7" w:rsidRPr="00FB59F7">
        <w:trPr>
          <w:tblCellSpacing w:type="nil" w:w="5"/>
          <w:jc w:val="center"/>
        </w:trPr>
        <w:tc>
          <w:tcPr>
            <w:tcW w:type="dxa" w:w="3798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B59F7" w:rsidP="008C25BA" w:rsidR="00FB59F7" w:rsidRPr="00FB59F7">
            <w:pPr>
              <w:pStyle w:val="ConsPlusCell"/>
              <w:contextualSpacing/>
              <w:rPr>
                <w:rFonts w:cs="Times New Roman" w:hAnsi="Times New Roman" w:ascii="Times New Roman"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sz w:val="22"/>
                <w:szCs w:val="22"/>
              </w:rPr>
              <w:t xml:space="preserve">Инвентаризация имущества и обязательств учреждения</w:t>
            </w:r>
          </w:p>
        </w:tc>
        <w:tc>
          <w:tcPr>
            <w:tcW w:type="dxa" w:w="3288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B59F7" w:rsidP="008C25BA" w:rsidR="00FB59F7" w:rsidRPr="00FB59F7">
            <w:pPr>
              <w:pStyle w:val="ConsPlusCell"/>
              <w:contextualSpacing/>
              <w:jc w:val="center"/>
              <w:rPr>
                <w:rFonts w:cs="Times New Roman" w:hAnsi="Times New Roman" w:ascii="Times New Roman"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sz w:val="22"/>
                <w:szCs w:val="22"/>
              </w:rPr>
              <w:t xml:space="preserve">Ежегодно, перед составлением годовой отчетности</w:t>
            </w:r>
          </w:p>
        </w:tc>
        <w:tc>
          <w:tcPr>
            <w:tcW w:type="dxa" w:w="2268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B59F7" w:rsidP="008C25BA" w:rsidR="00FB59F7" w:rsidRPr="00FB59F7">
            <w:pPr>
              <w:pStyle w:val="ConsPlusCell"/>
              <w:contextualSpacing/>
              <w:jc w:val="center"/>
              <w:rPr>
                <w:rFonts w:cs="Times New Roman" w:hAnsi="Times New Roman" w:ascii="Times New Roman"/>
                <w:sz w:val="22"/>
                <w:szCs w:val="22"/>
              </w:rPr>
            </w:pPr>
            <w:r w:rsidRPr="00FB59F7">
              <w:rPr>
                <w:rFonts w:cs="Times New Roman" w:hAnsi="Times New Roman" w:ascii="Times New Roman"/>
                <w:sz w:val="22"/>
                <w:szCs w:val="22"/>
              </w:rPr>
              <w:t xml:space="preserve">Акт о результатах инвентаризации (ф. 0504835)</w:t>
            </w:r>
          </w:p>
        </w:tc>
      </w:tr>
    </w:tbl>
    <w:p w:rsidRDefault="00FB59F7" w:rsidP="00FB59F7" w:rsidR="00FB59F7">
      <w:pPr>
        <w:tabs>
          <w:tab w:pos="9355" w:val="right"/>
        </w:tabs>
        <w:ind w:firstLine="709"/>
        <w:contextualSpacing/>
        <w:rPr>
          <w:rFonts w:eastAsia="Times New Roman"/>
        </w:rPr>
      </w:pPr>
    </w:p>
    <w:p w:rsidRDefault="00FB59F7" w:rsidP="00FB59F7" w:rsidR="00FB59F7" w:rsidRPr="00AD0135">
      <w:pPr>
        <w:tabs>
          <w:tab w:pos="9355" w:val="right"/>
        </w:tabs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2.3. Последующий контроль осуществляется путем проведения как плановых, так и внеплановых проверок. 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Внеплановые проверки проводятся на основании приказов, издаваемых НИУ ВШЭ.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Внеплановые проверки проводятся в случаях:</w:t>
      </w:r>
    </w:p>
    <w:p w:rsidRDefault="00FB59F7" w:rsidP="00FB59F7" w:rsidR="00FB59F7" w:rsidRPr="00FF47EB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FF47EB">
        <w:rPr>
          <w:rFonts w:hAnsi="Times New Roman" w:ascii="Times New Roman"/>
          <w:sz w:val="26"/>
          <w:szCs w:val="26"/>
        </w:rPr>
        <w:t xml:space="preserve">смены материально ответственных лиц;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AD0135">
        <w:rPr>
          <w:rFonts w:hAnsi="Times New Roman" w:ascii="Times New Roman"/>
          <w:sz w:val="26"/>
          <w:szCs w:val="26"/>
        </w:rPr>
        <w:t xml:space="preserve">при передаче имущества организации в аренду;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AD0135">
        <w:rPr>
          <w:rFonts w:hAnsi="Times New Roman" w:ascii="Times New Roman"/>
          <w:sz w:val="26"/>
          <w:szCs w:val="26"/>
        </w:rPr>
        <w:t xml:space="preserve">при передаче имущества в казну;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AD0135">
        <w:rPr>
          <w:rFonts w:hAnsi="Times New Roman" w:ascii="Times New Roman"/>
          <w:sz w:val="26"/>
          <w:szCs w:val="26"/>
        </w:rPr>
        <w:t xml:space="preserve">при установлении фактов хищений или злоупотреблений, а также порчи ценностей;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AD0135">
        <w:rPr>
          <w:rFonts w:hAnsi="Times New Roman" w:ascii="Times New Roman"/>
          <w:sz w:val="26"/>
          <w:szCs w:val="26"/>
        </w:rPr>
        <w:t xml:space="preserve">в случае стихийных бедствий, пожара, аварий или других чрезвычайных ситуаций, вызванных экстремальными условиями;</w:t>
      </w:r>
    </w:p>
    <w:p w:rsidRDefault="00FB59F7" w:rsidP="00FB59F7" w:rsidR="00FB59F7" w:rsidRPr="00AD0135">
      <w:pPr>
        <w:pStyle w:val="a3"/>
        <w:numPr>
          <w:ilvl w:val="0"/>
          <w:numId w:val="41"/>
        </w:numPr>
        <w:ind w:firstLine="709" w:left="0"/>
        <w:contextualSpacing/>
        <w:jc w:val="both"/>
        <w:rPr>
          <w:rFonts w:hAnsi="Times New Roman" w:ascii="Times New Roman"/>
          <w:sz w:val="26"/>
          <w:szCs w:val="26"/>
        </w:rPr>
      </w:pPr>
      <w:r w:rsidRPr="00FF47EB">
        <w:rPr>
          <w:rFonts w:hAnsi="Times New Roman" w:ascii="Times New Roman"/>
          <w:sz w:val="26"/>
          <w:szCs w:val="26"/>
        </w:rPr>
        <w:t xml:space="preserve">и в других случаях, </w:t>
      </w:r>
      <w:r w:rsidRPr="00AD0135">
        <w:rPr>
          <w:rFonts w:hAnsi="Times New Roman" w:ascii="Times New Roman"/>
          <w:sz w:val="26"/>
          <w:szCs w:val="26"/>
        </w:rPr>
        <w:t xml:space="preserve">предусматриваемых законодательством Российской Федерации, нормативными актами Министерства финансов Российской Федерации и решением руководства НИУ ВШЭ.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Основными объектами плановой проверки являются: соблюдение законодательства РФ, регулирующего порядок ведения бухгалтерского учета и </w:t>
      </w:r>
      <w:r w:rsidRPr="00AD0135">
        <w:rPr>
          <w:rFonts w:eastAsia="Times New Roman"/>
        </w:rPr>
        <w:lastRenderedPageBreak/>
        <w:t xml:space="preserve">норм учетной политики, полнота и правильность документального оформления операций.</w:t>
      </w:r>
    </w:p>
    <w:p w:rsidRDefault="00FB59F7" w:rsidP="00FB59F7" w:rsidR="00FB59F7">
      <w:pPr>
        <w:ind w:firstLine="709"/>
        <w:contextualSpacing/>
        <w:rPr>
          <w:rFonts w:eastAsia="Times New Roman"/>
        </w:rPr>
      </w:pPr>
      <w:r w:rsidRPr="00AD0135">
        <w:rPr>
          <w:rFonts w:eastAsia="Times New Roman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Default="00CC0D87" w:rsidP="00FB59F7" w:rsidR="00FB59F7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Основной целью проведения мероприятий внутреннего контроля является нейтрализация возможности возникновения рисков (нарушений) при ведении бухгалтерского учета и формирования отчетности.</w:t>
      </w:r>
    </w:p>
    <w:p w:rsidRDefault="00CC0D87" w:rsidP="00FB59F7" w:rsidR="00CC0D87" w:rsidRPr="00AD0135">
      <w:pPr>
        <w:ind w:firstLine="709"/>
        <w:contextualSpacing/>
        <w:rPr>
          <w:rFonts w:eastAsia="Times New Roman"/>
        </w:rPr>
      </w:pPr>
    </w:p>
    <w:p w:rsidRDefault="00FB59F7" w:rsidP="00FB59F7" w:rsidR="00FB59F7" w:rsidRPr="00AD0135">
      <w:pPr>
        <w:tabs>
          <w:tab w:pos="3104" w:val="left"/>
        </w:tabs>
        <w:ind w:firstLine="709"/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3</w:t>
      </w:r>
      <w:r w:rsidRPr="00AD0135">
        <w:rPr>
          <w:rFonts w:eastAsia="Times New Roman"/>
          <w:b/>
          <w:bCs/>
        </w:rPr>
        <w:t xml:space="preserve">. Ответственность </w:t>
      </w:r>
      <w:r w:rsidRPr="00AD0135">
        <w:rPr>
          <w:rFonts w:eastAsia="Times New Roman"/>
          <w:b/>
          <w:bCs/>
        </w:rPr>
        <w:tab/>
      </w:r>
    </w:p>
    <w:p w:rsidRDefault="00FB59F7" w:rsidP="00FB59F7" w:rsidR="00FB59F7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3</w:t>
      </w:r>
      <w:r w:rsidRPr="00AD0135">
        <w:rPr>
          <w:rFonts w:eastAsia="Times New Roman"/>
        </w:rPr>
        <w:t xml:space="preserve">.1. Лица, допустившие недостатки, искажения и нарушения, несут дисциплинарную ответственность в соответствии с требованиями </w:t>
      </w:r>
      <w:hyperlink r:id="rId11" w:history="true">
        <w:r w:rsidRPr="00AD0135">
          <w:rPr>
            <w:rFonts w:eastAsia="Times New Roman"/>
          </w:rPr>
          <w:t xml:space="preserve">ТК РФ</w:t>
        </w:r>
      </w:hyperlink>
      <w:r w:rsidRPr="00AD0135">
        <w:rPr>
          <w:rFonts w:eastAsia="Times New Roman"/>
        </w:rPr>
        <w:t xml:space="preserve">. 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</w:p>
    <w:p w:rsidRDefault="00FB59F7" w:rsidP="00FB59F7" w:rsidR="00FB59F7" w:rsidRPr="00AD0135">
      <w:pPr>
        <w:tabs>
          <w:tab w:pos="3104" w:val="left"/>
        </w:tabs>
        <w:ind w:firstLine="709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</w:t>
      </w:r>
      <w:r w:rsidRPr="00AD0135">
        <w:rPr>
          <w:rFonts w:eastAsia="Times New Roman"/>
          <w:b/>
          <w:bCs/>
        </w:rPr>
        <w:t xml:space="preserve">. Оценка состояния системы внутреннего контроля </w:t>
      </w:r>
    </w:p>
    <w:p w:rsidRDefault="00FB59F7" w:rsidP="00FB59F7" w:rsidR="00FB59F7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4</w:t>
      </w:r>
      <w:r w:rsidRPr="00AD0135">
        <w:rPr>
          <w:rFonts w:eastAsia="Times New Roman"/>
        </w:rPr>
        <w:t xml:space="preserve">.1. Оценка эффективности системы внутреннего контроля осуществляется субъектами внутреннего контроля и рассматривается на совещаниях, проводимых руководителем учреждения. 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</w:p>
    <w:p w:rsidRDefault="00FB59F7" w:rsidP="00FB59F7" w:rsidR="00FB59F7" w:rsidRPr="00AD0135">
      <w:pPr>
        <w:tabs>
          <w:tab w:pos="3104" w:val="left"/>
        </w:tabs>
        <w:ind w:firstLine="709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</w:t>
      </w:r>
      <w:r w:rsidRPr="00AD0135">
        <w:rPr>
          <w:rFonts w:eastAsia="Times New Roman"/>
          <w:b/>
          <w:bCs/>
        </w:rPr>
        <w:t xml:space="preserve">. З</w:t>
      </w:r>
      <w:r>
        <w:rPr>
          <w:rFonts w:eastAsia="Times New Roman"/>
          <w:b/>
          <w:bCs/>
        </w:rPr>
        <w:t xml:space="preserve">а</w:t>
      </w:r>
      <w:r w:rsidRPr="00AD0135">
        <w:rPr>
          <w:rFonts w:eastAsia="Times New Roman"/>
          <w:b/>
          <w:bCs/>
        </w:rPr>
        <w:t xml:space="preserve">ключительные положения </w:t>
      </w:r>
    </w:p>
    <w:p w:rsidRDefault="00FB59F7" w:rsidP="00FB59F7" w:rsidR="00FB59F7" w:rsidRPr="00AD0135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5</w:t>
      </w:r>
      <w:r w:rsidRPr="00AD0135">
        <w:rPr>
          <w:rFonts w:eastAsia="Times New Roman"/>
        </w:rPr>
        <w:t xml:space="preserve">.1. Все изменения и дополнения к настоящему положению утверждаются </w:t>
      </w:r>
      <w:r>
        <w:rPr>
          <w:rFonts w:eastAsia="Times New Roman"/>
        </w:rPr>
        <w:t xml:space="preserve">приказом.</w:t>
      </w:r>
      <w:r w:rsidRPr="00AD0135">
        <w:rPr>
          <w:rFonts w:eastAsia="Times New Roman"/>
        </w:rPr>
        <w:t xml:space="preserve"> </w:t>
      </w:r>
    </w:p>
    <w:p w:rsidRDefault="00FB59F7" w:rsidP="00FB59F7" w:rsidR="00FB59F7" w:rsidRPr="00AD0135">
      <w:pPr>
        <w:ind w:firstLine="709"/>
        <w:contextualSpacing/>
      </w:pPr>
      <w:r>
        <w:rPr>
          <w:rFonts w:eastAsia="Times New Roman"/>
        </w:rPr>
        <w:t xml:space="preserve">5</w:t>
      </w:r>
      <w:r w:rsidRPr="00AD0135">
        <w:rPr>
          <w:rFonts w:eastAsia="Times New Roman"/>
        </w:rPr>
        <w:t xml:space="preserve">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Default="00FB59F7" w:rsidP="00FB59F7" w:rsidR="00FB59F7">
      <w:pPr>
        <w:contextualSpacing/>
      </w:pPr>
    </w:p>
    <w:p w:rsidRDefault="00FB59F7" w:rsidP="00FB59F7" w:rsidR="00FB59F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CC0D87" w:rsidP="00FB59F7" w:rsidR="00CC0D87">
      <w:pPr>
        <w:contextualSpacing/>
      </w:pPr>
    </w:p>
    <w:p w:rsidRDefault="00FB59F7" w:rsidP="00FB59F7" w:rsidR="00FB59F7">
      <w:pPr>
        <w:contextualSpacing/>
      </w:pPr>
    </w:p>
    <w:p w:rsidRDefault="00FB59F7" w:rsidP="00FB59F7" w:rsidR="00FB59F7">
      <w:pPr>
        <w:ind w:left="5670"/>
        <w:contextualSpacing/>
        <w:jc w:val="left"/>
      </w:pPr>
      <w:r>
        <w:lastRenderedPageBreak/>
        <w:t xml:space="preserve">Приложение</w:t>
      </w:r>
    </w:p>
    <w:p w:rsidRDefault="00FB59F7" w:rsidP="00FB59F7" w:rsidR="00FB59F7">
      <w:pPr>
        <w:ind w:left="5670"/>
        <w:contextualSpacing/>
        <w:jc w:val="left"/>
      </w:pPr>
      <w:r>
        <w:t xml:space="preserve">к Положению о внутреннем контроле в НИУ ВШЭ</w:t>
      </w:r>
    </w:p>
    <w:p w:rsidRDefault="00FB59F7" w:rsidP="00FB59F7" w:rsidR="00FB59F7">
      <w:pPr>
        <w:ind w:left="5670"/>
        <w:contextualSpacing/>
        <w:jc w:val="left"/>
      </w:pPr>
    </w:p>
    <w:p w:rsidRDefault="00FB59F7" w:rsidP="00FB59F7" w:rsidR="00FB59F7" w:rsidRPr="00FB59F7">
      <w:pPr>
        <w:contextualSpacing/>
        <w:jc w:val="center"/>
        <w:rPr>
          <w:b/>
        </w:rPr>
      </w:pPr>
      <w:r w:rsidRPr="00FB59F7">
        <w:rPr>
          <w:rFonts w:eastAsia="Times New Roman"/>
          <w:b/>
        </w:rPr>
        <w:t xml:space="preserve">Карта рисков </w:t>
      </w:r>
      <w:r>
        <w:rPr>
          <w:rFonts w:eastAsia="Times New Roman"/>
          <w:b/>
        </w:rPr>
        <w:t xml:space="preserve">в части организации и ведения</w:t>
      </w:r>
      <w:r w:rsidRPr="00FB59F7">
        <w:rPr>
          <w:rFonts w:eastAsia="Times New Roman"/>
          <w:b/>
        </w:rPr>
        <w:t xml:space="preserve"> бухгалтерского учета</w:t>
      </w:r>
      <w:r>
        <w:rPr>
          <w:rFonts w:eastAsia="Times New Roman"/>
          <w:b/>
        </w:rPr>
        <w:t xml:space="preserve">, формирования</w:t>
      </w:r>
      <w:r w:rsidRPr="00FB59F7">
        <w:rPr>
          <w:rFonts w:eastAsia="Times New Roman"/>
          <w:b/>
        </w:rPr>
        <w:t xml:space="preserve"> отчетности</w:t>
      </w:r>
      <w:r>
        <w:rPr>
          <w:rFonts w:eastAsia="Times New Roman"/>
          <w:b/>
        </w:rPr>
        <w:t xml:space="preserve"> </w:t>
      </w:r>
      <w:r w:rsidR="00CC0D87">
        <w:rPr>
          <w:rFonts w:eastAsia="Times New Roman"/>
          <w:b/>
        </w:rPr>
        <w:t xml:space="preserve">НИУ ВШЭ</w:t>
      </w:r>
    </w:p>
    <w:p w:rsidRDefault="00A504FF" w:rsidP="00A504FF" w:rsidR="00A504FF">
      <w:pPr>
        <w:pStyle w:val="10"/>
        <w:numPr>
          <w:ilvl w:val="0"/>
          <w:numId w:val="0"/>
        </w:numPr>
        <w:jc w:val="center"/>
        <w:rPr>
          <w:noProof/>
          <w:lang w:eastAsia="ru-RU"/>
        </w:rPr>
      </w:pPr>
    </w:p>
    <w:tbl>
      <w:tblPr>
        <w:tblW w:type="dxa" w:w="9513"/>
        <w:tblInd w:type="dxa" w:w="93"/>
        <w:tblLayout w:type="fixed"/>
        <w:tblLook w:val="04A0" w:noVBand="1" w:noHBand="0" w:lastColumn="0" w:firstColumn="1" w:lastRow="0" w:firstRow="1"/>
      </w:tblPr>
      <w:tblGrid>
        <w:gridCol w:w="2000"/>
        <w:gridCol w:w="1842"/>
        <w:gridCol w:w="3544"/>
        <w:gridCol w:w="1134"/>
        <w:gridCol w:w="993"/>
      </w:tblGrid>
      <w:tr w:rsidTr="00FB59F7" w:rsidR="00FB59F7" w:rsidRPr="00FB59F7">
        <w:trPr>
          <w:trHeight w:val="300"/>
          <w:tblHeader/>
        </w:trPr>
        <w:tc>
          <w:tcPr>
            <w:tcW w:type="dxa" w:w="3842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FB59F7" w:rsidR="00FB59F7" w:rsidRPr="00FB59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Риск</w:t>
            </w:r>
          </w:p>
        </w:tc>
        <w:tc>
          <w:tcPr>
            <w:tcW w:type="dxa" w:w="3544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Описание нарушений (рисков)</w:t>
            </w:r>
            <w:r w:rsidRPr="00FB59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212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Оценка риска</w:t>
            </w:r>
          </w:p>
        </w:tc>
      </w:tr>
      <w:tr w:rsidTr="00FB59F7" w:rsidR="00FB59F7" w:rsidRPr="00FB59F7">
        <w:trPr>
          <w:trHeight w:val="300"/>
          <w:tblHeader/>
        </w:trPr>
        <w:tc>
          <w:tcPr>
            <w:tcW w:type="dxa" w:w="200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группа</w:t>
            </w:r>
          </w:p>
        </w:tc>
        <w:tc>
          <w:tcPr>
            <w:tcW w:type="dxa" w:w="184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подгруппа</w:t>
            </w:r>
          </w:p>
        </w:tc>
        <w:tc>
          <w:tcPr>
            <w:tcW w:type="dxa" w:w="354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B59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Значи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-</w:t>
            </w:r>
            <w:r w:rsidRPr="00FB59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мость</w:t>
            </w:r>
            <w:proofErr w:type="spellEnd"/>
            <w:proofErr w:type="gramEnd"/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B59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Вероят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-</w:t>
            </w:r>
            <w:r w:rsidRPr="00FB59F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ность</w:t>
            </w:r>
            <w:proofErr w:type="spellEnd"/>
            <w:proofErr w:type="gramEnd"/>
          </w:p>
        </w:tc>
      </w:tr>
      <w:tr w:rsidTr="00FB59F7" w:rsidR="00FB59F7" w:rsidRPr="00FB59F7">
        <w:trPr>
          <w:trHeight w:val="1200"/>
        </w:trPr>
        <w:tc>
          <w:tcPr>
            <w:tcW w:type="dxa" w:w="2000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CC0D87" w:rsidR="00FB59F7" w:rsidRPr="00FB59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Риск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при ведении бухгалтерского учета, составлении и представлении бухгалтерской отчетности</w:t>
            </w:r>
          </w:p>
        </w:tc>
        <w:tc>
          <w:tcPr>
            <w:tcW w:type="dxa" w:w="184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FB59F7" w:rsidR="00FB59F7" w:rsidRPr="00FB59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Риск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 при организации бухгалтерского учета</w:t>
            </w: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Нарушение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15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РФ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9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FB59F7" w:rsidR="00FB59F7" w:rsidRPr="00FB59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Риск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 при оформлении первичных документов</w:t>
            </w: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Нарушение требований, предъявляемых к оформлению фактов хозяйственной жизни первичными учетными документами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9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Отсутствие обязательных реквизитов документов, заверяющих штампов и подписей ответственных исполнителей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6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Нарушение требований, предъявляемых к регистру бухгалтерского учета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15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FB59F7" w:rsidR="00FB59F7" w:rsidRPr="00FB59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Риск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при организации и проведении инвентаризации активов и обязательств</w:t>
            </w: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Нарушение требований, предъявляемых к проведению инвентаризации активов и обязатель</w:t>
            </w:r>
            <w:proofErr w:type="gramStart"/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ств в сл</w:t>
            </w:r>
            <w:proofErr w:type="gramEnd"/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6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Несоответствие фактического наличия материальных ценностей данным бухгалтерского учета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12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CC0D87" w:rsidR="00FB59F7" w:rsidRPr="00FB59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Риск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при составлении и представлении бухгалтерской отчетности</w:t>
            </w: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9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6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Формирование неполной, недостоверной информации об имущественном положении учреждения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6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Нарушение общих требований к бухгалтерской (финансовой) отчетности, в том числе к ее составу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12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CC0D87" w:rsidR="00FB59F7" w:rsidRPr="00FB59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Риск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при организации и осуществлении внутреннего контроля ведения бухгалтерского учета и составления бухгалтерской отчетности</w:t>
            </w: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12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FB59F7" w:rsidR="00FB59F7" w:rsidRPr="00FB59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Риск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при работе с денежной наличностью и ведении кассовых операций, нарушения требований об использовании специальных банковских счетов</w:t>
            </w: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6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Превышение лимита остатка наличных денежных сре</w:t>
            </w:r>
            <w:proofErr w:type="gramStart"/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дств в к</w:t>
            </w:r>
            <w:proofErr w:type="gramEnd"/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ассе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6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Превышение установленных размеров расчета наличными деньгами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9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CC0D87" w:rsidR="00FB59F7" w:rsidRPr="00FB59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Иные </w:t>
            </w:r>
            <w:r w:rsidR="00CC0D87">
              <w:rPr>
                <w:rFonts w:eastAsia="Times New Roman"/>
                <w:color w:val="000000"/>
                <w:sz w:val="22"/>
                <w:szCs w:val="22"/>
              </w:rPr>
              <w:t xml:space="preserve">Риск </w:t>
            </w: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ведения бухгалтерского учета, составления и представления бухгалтерской отчетности</w:t>
            </w: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Нарушения, связанные с отражением в бухгалтерском учете хозяйственной операции, не имевшей факта совершения по документам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6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Нарушения, связанные с неправомерным списанием горюче-смазочных материалов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6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Нарушение требований, предъявляемых к денежному измерению объектов бухгалтерского учета в валюте РФ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300"/>
        </w:trPr>
        <w:tc>
          <w:tcPr>
            <w:tcW w:type="dxa" w:w="2000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184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Искажение бухгалтерской отчетности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600"/>
        </w:trPr>
        <w:tc>
          <w:tcPr>
            <w:tcW w:type="dxa" w:w="2000"/>
            <w:tcBorders>
              <w:top w:val="nil"/>
              <w:left w:space="0" w:sz="4" w:color="auto" w:val="single"/>
              <w:bottom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FB59F7" w:rsidR="00FB59F7" w:rsidRPr="00FB59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Ри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 xml:space="preserve">ск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 сф</w:t>
            </w:r>
            <w:proofErr w:type="gramEnd"/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ере управления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активами и обязательствами</w:t>
            </w:r>
          </w:p>
        </w:tc>
        <w:tc>
          <w:tcPr>
            <w:tcW w:type="dxa" w:w="1842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FB59F7" w:rsidR="00FB59F7" w:rsidRPr="00FB59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Риск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при управлении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особо ценным движимым имуществом</w:t>
            </w: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Нарушение порядка отнесения имущества к особо ценному</w:t>
            </w:r>
            <w:r w:rsidR="00CC0D8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CC0D87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движимому имуществу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  <w:tr w:rsidTr="00FB59F7" w:rsidR="00FB59F7" w:rsidRPr="00FB59F7">
        <w:trPr>
          <w:trHeight w:val="1500"/>
        </w:trPr>
        <w:tc>
          <w:tcPr>
            <w:tcW w:type="dxa" w:w="20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Риск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требований к размещению информации и документов</w:t>
            </w:r>
          </w:p>
        </w:tc>
        <w:tc>
          <w:tcPr>
            <w:tcW w:type="dxa" w:w="184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0D8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Риск </w:t>
            </w:r>
            <w:r w:rsidR="00FB59F7" w:rsidRPr="00FB59F7">
              <w:rPr>
                <w:rFonts w:eastAsia="Times New Roman"/>
                <w:color w:val="000000"/>
                <w:sz w:val="22"/>
                <w:szCs w:val="22"/>
              </w:rPr>
              <w:t xml:space="preserve">требований к размещению информации и документов об организации в государственных информационных системах</w:t>
            </w:r>
          </w:p>
        </w:tc>
        <w:tc>
          <w:tcPr>
            <w:tcW w:type="dxa" w:w="354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Нарушение порядка обеспечения открытости и доступности сведений, содержащихся в документах, а также самих документов путем размещения на официальном сайте в информационно-телекоммуникационной сети "Интернет"</w:t>
            </w:r>
          </w:p>
        </w:tc>
        <w:tc>
          <w:tcPr>
            <w:tcW w:type="dxa" w:w="113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Высокая</w:t>
            </w:r>
          </w:p>
        </w:tc>
        <w:tc>
          <w:tcPr>
            <w:tcW w:type="dxa" w:w="99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FB59F7" w:rsidP="00FB59F7" w:rsidR="00FB59F7" w:rsidRPr="00FB59F7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B59F7">
              <w:rPr>
                <w:rFonts w:eastAsia="Times New Roman"/>
                <w:color w:val="000000"/>
                <w:sz w:val="22"/>
                <w:szCs w:val="22"/>
              </w:rPr>
              <w:t xml:space="preserve">Низкая</w:t>
            </w:r>
          </w:p>
        </w:tc>
      </w:tr>
    </w:tbl>
    <w:p w:rsidRDefault="00FB59F7" w:rsidP="00A504FF" w:rsidR="00FB59F7">
      <w:pPr>
        <w:pStyle w:val="10"/>
        <w:numPr>
          <w:ilvl w:val="0"/>
          <w:numId w:val="0"/>
        </w:numPr>
        <w:jc w:val="center"/>
        <w:rPr>
          <w:noProof/>
          <w:lang w:eastAsia="ru-RU"/>
        </w:rPr>
      </w:pPr>
    </w:p>
    <w:p w:rsidRDefault="00FB59F7" w:rsidP="00A504FF" w:rsidR="00FB59F7" w:rsidRPr="00564610">
      <w:pPr>
        <w:pStyle w:val="10"/>
        <w:numPr>
          <w:ilvl w:val="0"/>
          <w:numId w:val="0"/>
        </w:numPr>
        <w:jc w:val="center"/>
        <w:rPr>
          <w:rFonts w:hAnsi="Times New Roman" w:ascii="Times New Roman"/>
          <w:b/>
          <w:sz w:val="26"/>
          <w:szCs w:val="26"/>
          <w:highlight w:val="yellow"/>
        </w:rPr>
      </w:pPr>
    </w:p>
    <w:sectPr w:rsidR="00FB59F7" w:rsidRPr="00564610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FF" w:rsidRDefault="00A504FF" w:rsidP="00A504FF">
      <w:r>
        <w:separator/>
      </w:r>
    </w:p>
  </w:endnote>
  <w:endnote w:type="continuationSeparator" w:id="0">
    <w:p w:rsidR="00A504FF" w:rsidRDefault="00A504FF" w:rsidP="00A5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FF" w:rsidRDefault="00A504FF" w:rsidP="00A504FF">
      <w:r>
        <w:separator/>
      </w:r>
    </w:p>
  </w:footnote>
  <w:footnote w:type="continuationSeparator" w:id="0">
    <w:p w:rsidR="00A504FF" w:rsidRDefault="00A504FF" w:rsidP="00A5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7534D472"/>
    <w:lvl w:ilvl="0" w:tplc="A104A1F8">
      <w:start w:val="1"/>
      <w:numFmt w:val="upperRoman"/>
      <w:pStyle w:val="1"/>
      <w:lvlText w:val="%1."/>
      <w:lvlJc w:val="right"/>
      <w:pPr>
        <w:ind w:left="720" w:hanging="360"/>
      </w:pPr>
    </w:lvl>
    <w:lvl w:ilvl="1" w:tplc="D14AAA24">
      <w:start w:val="1"/>
      <w:numFmt w:val="decimal"/>
      <w:pStyle w:val="10"/>
      <w:lvlText w:val="%2."/>
      <w:lvlJc w:val="left"/>
      <w:pPr>
        <w:ind w:left="291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9DED0E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7B2C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0F5348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B60C2C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C22250A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E017470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2B1DA4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FBD7928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11F06C6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1A818ED"/>
    <w:multiLevelType w:val="hybridMultilevel"/>
    <w:tmpl w:val="02E20F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5F7B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9742934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C826B23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DB847A2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675058F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9432718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951478C"/>
    <w:multiLevelType w:val="multilevel"/>
    <w:tmpl w:val="E55E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9FB49F8"/>
    <w:multiLevelType w:val="hybridMultilevel"/>
    <w:tmpl w:val="DB9CAEB6"/>
    <w:lvl w:ilvl="0" w:tplc="D5546E84">
      <w:start w:val="1"/>
      <w:numFmt w:val="decimal"/>
      <w:lvlText w:val="%1."/>
      <w:lvlJc w:val="left"/>
      <w:pPr>
        <w:ind w:left="1463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8">
    <w:nsid w:val="31D60D4E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2F21A1D"/>
    <w:multiLevelType w:val="hybridMultilevel"/>
    <w:tmpl w:val="250A7ADE"/>
    <w:lvl w:ilvl="0" w:tplc="5A9C8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E30F88"/>
    <w:multiLevelType w:val="hybridMultilevel"/>
    <w:tmpl w:val="1BF84EA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1">
    <w:nsid w:val="38775E2C"/>
    <w:multiLevelType w:val="multilevel"/>
    <w:tmpl w:val="9BDA7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ADA0441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EAC0A98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9D1113B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EEA1F59"/>
    <w:multiLevelType w:val="multilevel"/>
    <w:tmpl w:val="0AF49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F035E1E"/>
    <w:multiLevelType w:val="hybridMultilevel"/>
    <w:tmpl w:val="C89CAB9E"/>
    <w:lvl w:ilvl="0" w:tplc="5A9C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71B64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1AF72F5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4E81D05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53D4449"/>
    <w:multiLevelType w:val="hybridMultilevel"/>
    <w:tmpl w:val="DD0E1234"/>
    <w:lvl w:ilvl="0" w:tplc="D5546E84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D44C9F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D834026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1CB666E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02452A5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30F5332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48574DE"/>
    <w:multiLevelType w:val="hybridMultilevel"/>
    <w:tmpl w:val="8E722AE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D76B8A8">
      <w:start w:val="1"/>
      <w:numFmt w:val="decimal"/>
      <w:lvlText w:val="2.%2."/>
      <w:lvlJc w:val="left"/>
      <w:pPr>
        <w:ind w:left="21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7">
    <w:nsid w:val="74E662EF"/>
    <w:multiLevelType w:val="multilevel"/>
    <w:tmpl w:val="72B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7EE2678"/>
    <w:multiLevelType w:val="multilevel"/>
    <w:tmpl w:val="3DB6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30"/>
  </w:num>
  <w:num w:numId="4">
    <w:abstractNumId w:val="20"/>
  </w:num>
  <w:num w:numId="5">
    <w:abstractNumId w:val="36"/>
  </w:num>
  <w:num w:numId="6">
    <w:abstractNumId w:val="17"/>
  </w:num>
  <w:num w:numId="7">
    <w:abstractNumId w:val="21"/>
  </w:num>
  <w:num w:numId="8">
    <w:abstractNumId w:val="25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38"/>
  </w:num>
  <w:num w:numId="16">
    <w:abstractNumId w:val="6"/>
  </w:num>
  <w:num w:numId="17">
    <w:abstractNumId w:val="29"/>
  </w:num>
  <w:num w:numId="18">
    <w:abstractNumId w:val="22"/>
  </w:num>
  <w:num w:numId="19">
    <w:abstractNumId w:val="37"/>
  </w:num>
  <w:num w:numId="20">
    <w:abstractNumId w:val="23"/>
  </w:num>
  <w:num w:numId="21">
    <w:abstractNumId w:val="33"/>
  </w:num>
  <w:num w:numId="22">
    <w:abstractNumId w:val="32"/>
  </w:num>
  <w:num w:numId="23">
    <w:abstractNumId w:val="16"/>
  </w:num>
  <w:num w:numId="24">
    <w:abstractNumId w:val="34"/>
  </w:num>
  <w:num w:numId="25">
    <w:abstractNumId w:val="35"/>
  </w:num>
  <w:num w:numId="26">
    <w:abstractNumId w:val="28"/>
  </w:num>
  <w:num w:numId="27">
    <w:abstractNumId w:val="18"/>
  </w:num>
  <w:num w:numId="28">
    <w:abstractNumId w:val="11"/>
  </w:num>
  <w:num w:numId="29">
    <w:abstractNumId w:val="31"/>
  </w:num>
  <w:num w:numId="30">
    <w:abstractNumId w:val="14"/>
  </w:num>
  <w:num w:numId="31">
    <w:abstractNumId w:val="27"/>
  </w:num>
  <w:num w:numId="32">
    <w:abstractNumId w:val="15"/>
  </w:num>
  <w:num w:numId="33">
    <w:abstractNumId w:val="24"/>
  </w:num>
  <w:num w:numId="34">
    <w:abstractNumId w:val="13"/>
  </w:num>
  <w:num w:numId="35">
    <w:abstractNumId w:val="7"/>
  </w:num>
  <w:num w:numId="36">
    <w:abstractNumId w:val="8"/>
  </w:num>
  <w:num w:numId="37">
    <w:abstractNumId w:val="3"/>
  </w:num>
  <w:num w:numId="38">
    <w:abstractNumId w:val="0"/>
  </w:num>
  <w:num w:numId="39">
    <w:abstractNumId w:val="0"/>
  </w:num>
  <w:num w:numId="40">
    <w:abstractNumId w:val="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CB"/>
    <w:rsid w:val="00023837"/>
    <w:rsid w:val="00086458"/>
    <w:rsid w:val="000A3747"/>
    <w:rsid w:val="000A5709"/>
    <w:rsid w:val="000F40F8"/>
    <w:rsid w:val="00130CAC"/>
    <w:rsid w:val="00140F32"/>
    <w:rsid w:val="001601CD"/>
    <w:rsid w:val="0018733F"/>
    <w:rsid w:val="001914CB"/>
    <w:rsid w:val="001A7141"/>
    <w:rsid w:val="003640A6"/>
    <w:rsid w:val="003A015D"/>
    <w:rsid w:val="004475D1"/>
    <w:rsid w:val="00564610"/>
    <w:rsid w:val="00570F45"/>
    <w:rsid w:val="005E0F9C"/>
    <w:rsid w:val="006665E3"/>
    <w:rsid w:val="006B401F"/>
    <w:rsid w:val="007C04AE"/>
    <w:rsid w:val="008E2111"/>
    <w:rsid w:val="009345A8"/>
    <w:rsid w:val="00963AA1"/>
    <w:rsid w:val="00A504FF"/>
    <w:rsid w:val="00B022BB"/>
    <w:rsid w:val="00B75882"/>
    <w:rsid w:val="00C84BA6"/>
    <w:rsid w:val="00CC0D87"/>
    <w:rsid w:val="00D72B5B"/>
    <w:rsid w:val="00D73181"/>
    <w:rsid w:val="00F34C3B"/>
    <w:rsid w:val="00F52083"/>
    <w:rsid w:val="00F92BAA"/>
    <w:rsid w:val="00F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6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A50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33F"/>
    <w:pPr>
      <w:ind w:left="720"/>
      <w:jc w:val="left"/>
    </w:pPr>
    <w:rPr>
      <w:rFonts w:ascii="Calibri" w:eastAsia="SimSun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8733F"/>
    <w:rPr>
      <w:rFonts w:ascii="Calibri" w:eastAsia="SimSun" w:hAnsi="Calibri" w:cs="Times New Roman"/>
      <w:sz w:val="24"/>
      <w:szCs w:val="24"/>
      <w:lang w:eastAsia="ru-RU"/>
    </w:rPr>
  </w:style>
  <w:style w:type="character" w:styleId="a5">
    <w:name w:val="annotation reference"/>
    <w:basedOn w:val="a0"/>
    <w:unhideWhenUsed/>
    <w:rsid w:val="00D72B5B"/>
    <w:rPr>
      <w:sz w:val="16"/>
      <w:szCs w:val="16"/>
    </w:rPr>
  </w:style>
  <w:style w:type="paragraph" w:styleId="a6">
    <w:name w:val="annotation text"/>
    <w:basedOn w:val="a"/>
    <w:link w:val="a7"/>
    <w:unhideWhenUsed/>
    <w:rsid w:val="00D72B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72B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2B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2B5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2B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B5B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qFormat/>
    <w:rsid w:val="004475D1"/>
    <w:pPr>
      <w:autoSpaceDE w:val="0"/>
      <w:autoSpaceDN w:val="0"/>
      <w:adjustRightInd w:val="0"/>
      <w:spacing w:line="276" w:lineRule="auto"/>
      <w:ind w:firstLine="540"/>
    </w:pPr>
    <w:rPr>
      <w:rFonts w:ascii="Cambria" w:eastAsia="Times New Roman" w:hAnsi="Cambria"/>
      <w:sz w:val="24"/>
      <w:szCs w:val="24"/>
    </w:rPr>
  </w:style>
  <w:style w:type="character" w:customStyle="1" w:styleId="20">
    <w:name w:val="Стиль2 Знак"/>
    <w:link w:val="2"/>
    <w:rsid w:val="004475D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Мой абзац Знак"/>
    <w:basedOn w:val="a0"/>
    <w:link w:val="ad"/>
    <w:rsid w:val="005E0F9C"/>
    <w:rPr>
      <w:rFonts w:ascii="Calibri" w:eastAsia="Times New Roman" w:hAnsi="Calibri" w:cs="Times New Roman"/>
    </w:rPr>
  </w:style>
  <w:style w:type="paragraph" w:customStyle="1" w:styleId="ad">
    <w:name w:val="Мой абзац"/>
    <w:basedOn w:val="a"/>
    <w:link w:val="ac"/>
    <w:rsid w:val="005E0F9C"/>
    <w:pPr>
      <w:ind w:firstLine="284"/>
    </w:pPr>
    <w:rPr>
      <w:rFonts w:ascii="Calibri" w:eastAsia="Times New Roman" w:hAnsi="Calibr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1601CD"/>
    <w:rPr>
      <w:color w:val="0000FF" w:themeColor="hyperlink"/>
      <w:u w:val="single"/>
    </w:rPr>
  </w:style>
  <w:style w:type="paragraph" w:customStyle="1" w:styleId="1">
    <w:name w:val="Мой Заг.1"/>
    <w:basedOn w:val="11"/>
    <w:rsid w:val="00A504FF"/>
    <w:pPr>
      <w:keepNext w:val="0"/>
      <w:keepLines w:val="0"/>
      <w:numPr>
        <w:numId w:val="38"/>
      </w:numPr>
      <w:tabs>
        <w:tab w:val="num" w:pos="360"/>
      </w:tabs>
      <w:spacing w:before="100" w:beforeAutospacing="1" w:after="240" w:afterAutospacing="1" w:line="360" w:lineRule="auto"/>
      <w:ind w:left="0" w:firstLine="0"/>
      <w:jc w:val="center"/>
    </w:pPr>
    <w:rPr>
      <w:rFonts w:ascii="Calibri" w:eastAsia="Times New Roman" w:hAnsi="Calibri" w:cs="Times New Roman"/>
      <w:color w:val="000000"/>
      <w:kern w:val="36"/>
      <w:sz w:val="40"/>
      <w:szCs w:val="40"/>
    </w:rPr>
  </w:style>
  <w:style w:type="character" w:customStyle="1" w:styleId="13">
    <w:name w:val="Мой номер 1 Знак"/>
    <w:link w:val="10"/>
    <w:rsid w:val="00A504FF"/>
    <w:rPr>
      <w:rFonts w:ascii="Calibri" w:eastAsia="Times New Roman" w:hAnsi="Calibri" w:cs="Times New Roman"/>
    </w:rPr>
  </w:style>
  <w:style w:type="paragraph" w:customStyle="1" w:styleId="10">
    <w:name w:val="Мой номер 1"/>
    <w:basedOn w:val="a3"/>
    <w:link w:val="13"/>
    <w:rsid w:val="00A504FF"/>
    <w:pPr>
      <w:numPr>
        <w:ilvl w:val="1"/>
        <w:numId w:val="38"/>
      </w:num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A50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A5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A504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04FF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A504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04FF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enumerated">
    <w:name w:val="enumerated"/>
    <w:rsid w:val="007C04AE"/>
    <w:rPr>
      <w:rFonts w:ascii="Calibri" w:eastAsia="Times New Roman" w:hAnsi="Calibri" w:cs="Times New Roman"/>
    </w:rPr>
  </w:style>
  <w:style w:type="paragraph" w:styleId="af3">
    <w:name w:val="Normal (Web)"/>
    <w:basedOn w:val="a"/>
    <w:uiPriority w:val="99"/>
    <w:rsid w:val="007C04AE"/>
    <w:pPr>
      <w:spacing w:before="100" w:beforeAutospacing="1" w:after="100" w:afterAutospacing="1"/>
    </w:pPr>
    <w:rPr>
      <w:rFonts w:ascii="Arial" w:eastAsia="SimSun" w:hAnsi="Arial" w:cs="Arial"/>
      <w:sz w:val="24"/>
      <w:szCs w:val="24"/>
    </w:rPr>
  </w:style>
  <w:style w:type="character" w:customStyle="1" w:styleId="printable1">
    <w:name w:val="printable1"/>
    <w:basedOn w:val="a0"/>
    <w:rsid w:val="007C04AE"/>
    <w:rPr>
      <w:b/>
      <w:bCs/>
    </w:rPr>
  </w:style>
  <w:style w:type="paragraph" w:customStyle="1" w:styleId="ConsPlusCell">
    <w:name w:val="ConsPlusCell"/>
    <w:uiPriority w:val="99"/>
    <w:rsid w:val="00FB59F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annotation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84BA6"/>
    <w:pPr>
      <w:spacing w:after="0" w:line="240" w:lineRule="auto"/>
      <w:jc w:val="both"/>
    </w:pPr>
    <w:rPr>
      <w:rFonts w:ascii="Times New Roman" w:cs="Times New Roman" w:eastAsia="Calibri" w:hAnsi="Times New Roman"/>
      <w:sz w:val="26"/>
      <w:szCs w:val="26"/>
      <w:lang w:eastAsia="ru-RU"/>
    </w:rPr>
  </w:style>
  <w:style w:styleId="11" w:type="paragraph">
    <w:name w:val="heading 1"/>
    <w:basedOn w:val="a"/>
    <w:next w:val="a"/>
    <w:link w:val="12"/>
    <w:uiPriority w:val="9"/>
    <w:qFormat/>
    <w:rsid w:val="00A504FF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link w:val="a4"/>
    <w:uiPriority w:val="34"/>
    <w:qFormat/>
    <w:rsid w:val="0018733F"/>
    <w:pPr>
      <w:ind w:left="720"/>
      <w:jc w:val="left"/>
    </w:pPr>
    <w:rPr>
      <w:rFonts w:ascii="Calibri" w:eastAsia="SimSun" w:hAnsi="Calibri"/>
      <w:sz w:val="24"/>
      <w:szCs w:val="24"/>
    </w:rPr>
  </w:style>
  <w:style w:customStyle="1" w:styleId="a4" w:type="character">
    <w:name w:val="Абзац списка Знак"/>
    <w:basedOn w:val="a0"/>
    <w:link w:val="a3"/>
    <w:uiPriority w:val="34"/>
    <w:rsid w:val="0018733F"/>
    <w:rPr>
      <w:rFonts w:ascii="Calibri" w:cs="Times New Roman" w:eastAsia="SimSun" w:hAnsi="Calibri"/>
      <w:sz w:val="24"/>
      <w:szCs w:val="24"/>
      <w:lang w:eastAsia="ru-RU"/>
    </w:rPr>
  </w:style>
  <w:style w:styleId="a5" w:type="character">
    <w:name w:val="annotation reference"/>
    <w:basedOn w:val="a0"/>
    <w:unhideWhenUsed/>
    <w:rsid w:val="00D72B5B"/>
    <w:rPr>
      <w:sz w:val="16"/>
      <w:szCs w:val="16"/>
    </w:rPr>
  </w:style>
  <w:style w:styleId="a6" w:type="paragraph">
    <w:name w:val="annotation text"/>
    <w:basedOn w:val="a"/>
    <w:link w:val="a7"/>
    <w:unhideWhenUsed/>
    <w:rsid w:val="00D72B5B"/>
    <w:rPr>
      <w:sz w:val="20"/>
      <w:szCs w:val="20"/>
    </w:rPr>
  </w:style>
  <w:style w:customStyle="1" w:styleId="a7" w:type="character">
    <w:name w:val="Текст примечания Знак"/>
    <w:basedOn w:val="a0"/>
    <w:link w:val="a6"/>
    <w:rsid w:val="00D72B5B"/>
    <w:rPr>
      <w:rFonts w:ascii="Times New Roman" w:cs="Times New Roman" w:eastAsia="Calibri" w:hAnsi="Times New Roman"/>
      <w:sz w:val="20"/>
      <w:szCs w:val="20"/>
      <w:lang w:eastAsia="ru-RU"/>
    </w:rPr>
  </w:style>
  <w:style w:styleId="a8" w:type="paragraph">
    <w:name w:val="annotation subject"/>
    <w:basedOn w:val="a6"/>
    <w:next w:val="a6"/>
    <w:link w:val="a9"/>
    <w:uiPriority w:val="99"/>
    <w:semiHidden/>
    <w:unhideWhenUsed/>
    <w:rsid w:val="00D72B5B"/>
    <w:rPr>
      <w:b/>
      <w:bCs/>
    </w:rPr>
  </w:style>
  <w:style w:customStyle="1" w:styleId="a9" w:type="character">
    <w:name w:val="Тема примечания Знак"/>
    <w:basedOn w:val="a7"/>
    <w:link w:val="a8"/>
    <w:uiPriority w:val="99"/>
    <w:semiHidden/>
    <w:rsid w:val="00D72B5B"/>
    <w:rPr>
      <w:rFonts w:ascii="Times New Roman" w:cs="Times New Roman" w:eastAsia="Calibri" w:hAnsi="Times New Roman"/>
      <w:b/>
      <w:bCs/>
      <w:sz w:val="20"/>
      <w:szCs w:val="20"/>
      <w:lang w:eastAsia="ru-RU"/>
    </w:rPr>
  </w:style>
  <w:style w:styleId="aa" w:type="paragraph">
    <w:name w:val="Balloon Text"/>
    <w:basedOn w:val="a"/>
    <w:link w:val="ab"/>
    <w:uiPriority w:val="99"/>
    <w:semiHidden/>
    <w:unhideWhenUsed/>
    <w:rsid w:val="00D72B5B"/>
    <w:rPr>
      <w:rFonts w:ascii="Tahoma" w:cs="Tahoma" w:hAnsi="Tahoma"/>
      <w:sz w:val="16"/>
      <w:szCs w:val="16"/>
    </w:rPr>
  </w:style>
  <w:style w:customStyle="1" w:styleId="ab" w:type="character">
    <w:name w:val="Текст выноски Знак"/>
    <w:basedOn w:val="a0"/>
    <w:link w:val="aa"/>
    <w:uiPriority w:val="99"/>
    <w:semiHidden/>
    <w:rsid w:val="00D72B5B"/>
    <w:rPr>
      <w:rFonts w:ascii="Tahoma" w:cs="Tahoma" w:eastAsia="Calibri" w:hAnsi="Tahoma"/>
      <w:sz w:val="16"/>
      <w:szCs w:val="16"/>
      <w:lang w:eastAsia="ru-RU"/>
    </w:rPr>
  </w:style>
  <w:style w:customStyle="1" w:styleId="2" w:type="paragraph">
    <w:name w:val="Стиль2"/>
    <w:basedOn w:val="a"/>
    <w:link w:val="20"/>
    <w:qFormat/>
    <w:rsid w:val="004475D1"/>
    <w:pPr>
      <w:autoSpaceDE w:val="0"/>
      <w:autoSpaceDN w:val="0"/>
      <w:adjustRightInd w:val="0"/>
      <w:spacing w:line="276" w:lineRule="auto"/>
      <w:ind w:firstLine="540"/>
    </w:pPr>
    <w:rPr>
      <w:rFonts w:ascii="Cambria" w:eastAsia="Times New Roman" w:hAnsi="Cambria"/>
      <w:sz w:val="24"/>
      <w:szCs w:val="24"/>
    </w:rPr>
  </w:style>
  <w:style w:customStyle="1" w:styleId="20" w:type="character">
    <w:name w:val="Стиль2 Знак"/>
    <w:link w:val="2"/>
    <w:rsid w:val="004475D1"/>
    <w:rPr>
      <w:rFonts w:ascii="Cambria" w:cs="Times New Roman" w:eastAsia="Times New Roman" w:hAnsi="Cambria"/>
      <w:sz w:val="24"/>
      <w:szCs w:val="24"/>
      <w:lang w:eastAsia="ru-RU"/>
    </w:rPr>
  </w:style>
  <w:style w:customStyle="1" w:styleId="ac" w:type="character">
    <w:name w:val="Мой абзац Знак"/>
    <w:basedOn w:val="a0"/>
    <w:link w:val="ad"/>
    <w:rsid w:val="005E0F9C"/>
    <w:rPr>
      <w:rFonts w:ascii="Calibri" w:cs="Times New Roman" w:eastAsia="Times New Roman" w:hAnsi="Calibri"/>
    </w:rPr>
  </w:style>
  <w:style w:customStyle="1" w:styleId="ad" w:type="paragraph">
    <w:name w:val="Мой абзац"/>
    <w:basedOn w:val="a"/>
    <w:link w:val="ac"/>
    <w:rsid w:val="005E0F9C"/>
    <w:pPr>
      <w:ind w:firstLine="284"/>
    </w:pPr>
    <w:rPr>
      <w:rFonts w:ascii="Calibri" w:eastAsia="Times New Roman" w:hAnsi="Calibri"/>
      <w:sz w:val="22"/>
      <w:szCs w:val="22"/>
      <w:lang w:eastAsia="en-US"/>
    </w:rPr>
  </w:style>
  <w:style w:styleId="ae" w:type="character">
    <w:name w:val="Hyperlink"/>
    <w:basedOn w:val="a0"/>
    <w:uiPriority w:val="99"/>
    <w:semiHidden/>
    <w:unhideWhenUsed/>
    <w:rsid w:val="001601CD"/>
    <w:rPr>
      <w:color w:themeColor="hyperlink" w:val="0000FF"/>
      <w:u w:val="single"/>
    </w:rPr>
  </w:style>
  <w:style w:customStyle="1" w:styleId="1" w:type="paragraph">
    <w:name w:val="Мой Заг.1"/>
    <w:basedOn w:val="11"/>
    <w:rsid w:val="00A504FF"/>
    <w:pPr>
      <w:keepNext w:val="0"/>
      <w:keepLines w:val="0"/>
      <w:numPr>
        <w:numId w:val="38"/>
      </w:numPr>
      <w:tabs>
        <w:tab w:pos="360" w:val="num"/>
      </w:tabs>
      <w:spacing w:after="240" w:afterAutospacing="1" w:before="100" w:beforeAutospacing="1" w:line="360" w:lineRule="auto"/>
      <w:ind w:firstLine="0" w:left="0"/>
      <w:jc w:val="center"/>
    </w:pPr>
    <w:rPr>
      <w:rFonts w:ascii="Calibri" w:cs="Times New Roman" w:eastAsia="Times New Roman" w:hAnsi="Calibri"/>
      <w:color w:val="000000"/>
      <w:kern w:val="36"/>
      <w:sz w:val="40"/>
      <w:szCs w:val="40"/>
    </w:rPr>
  </w:style>
  <w:style w:customStyle="1" w:styleId="13" w:type="character">
    <w:name w:val="Мой номер 1 Знак"/>
    <w:link w:val="10"/>
    <w:rsid w:val="00A504FF"/>
    <w:rPr>
      <w:rFonts w:ascii="Calibri" w:cs="Times New Roman" w:eastAsia="Times New Roman" w:hAnsi="Calibri"/>
    </w:rPr>
  </w:style>
  <w:style w:customStyle="1" w:styleId="10" w:type="paragraph">
    <w:name w:val="Мой номер 1"/>
    <w:basedOn w:val="a3"/>
    <w:link w:val="13"/>
    <w:rsid w:val="00A504FF"/>
    <w:pPr>
      <w:numPr>
        <w:ilvl w:val="1"/>
        <w:numId w:val="38"/>
      </w:numPr>
      <w:jc w:val="both"/>
    </w:pPr>
    <w:rPr>
      <w:rFonts w:eastAsia="Times New Roman"/>
      <w:sz w:val="22"/>
      <w:szCs w:val="22"/>
      <w:lang w:eastAsia="en-US"/>
    </w:rPr>
  </w:style>
  <w:style w:customStyle="1" w:styleId="ConsPlusNormal" w:type="paragraph">
    <w:name w:val="ConsPlusNormal"/>
    <w:rsid w:val="00A504FF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customStyle="1" w:styleId="ConsPlusNonformat" w:type="paragraph">
    <w:name w:val="ConsPlusNonformat"/>
    <w:rsid w:val="00A504FF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customStyle="1" w:styleId="12" w:type="character">
    <w:name w:val="Заголовок 1 Знак"/>
    <w:basedOn w:val="a0"/>
    <w:link w:val="11"/>
    <w:uiPriority w:val="9"/>
    <w:rsid w:val="00A504FF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ru-RU"/>
    </w:rPr>
  </w:style>
  <w:style w:styleId="af" w:type="paragraph">
    <w:name w:val="header"/>
    <w:basedOn w:val="a"/>
    <w:link w:val="af0"/>
    <w:uiPriority w:val="99"/>
    <w:unhideWhenUsed/>
    <w:rsid w:val="00A504FF"/>
    <w:pPr>
      <w:tabs>
        <w:tab w:pos="4677" w:val="center"/>
        <w:tab w:pos="9355" w:val="right"/>
      </w:tabs>
    </w:pPr>
  </w:style>
  <w:style w:customStyle="1" w:styleId="af0" w:type="character">
    <w:name w:val="Верхний колонтитул Знак"/>
    <w:basedOn w:val="a0"/>
    <w:link w:val="af"/>
    <w:uiPriority w:val="99"/>
    <w:rsid w:val="00A504FF"/>
    <w:rPr>
      <w:rFonts w:ascii="Times New Roman" w:cs="Times New Roman" w:eastAsia="Calibri" w:hAnsi="Times New Roman"/>
      <w:sz w:val="26"/>
      <w:szCs w:val="26"/>
      <w:lang w:eastAsia="ru-RU"/>
    </w:rPr>
  </w:style>
  <w:style w:styleId="af1" w:type="paragraph">
    <w:name w:val="footer"/>
    <w:basedOn w:val="a"/>
    <w:link w:val="af2"/>
    <w:uiPriority w:val="99"/>
    <w:unhideWhenUsed/>
    <w:rsid w:val="00A504FF"/>
    <w:pPr>
      <w:tabs>
        <w:tab w:pos="4677" w:val="center"/>
        <w:tab w:pos="9355" w:val="right"/>
      </w:tabs>
    </w:pPr>
  </w:style>
  <w:style w:customStyle="1" w:styleId="af2" w:type="character">
    <w:name w:val="Нижний колонтитул Знак"/>
    <w:basedOn w:val="a0"/>
    <w:link w:val="af1"/>
    <w:uiPriority w:val="99"/>
    <w:rsid w:val="00A504FF"/>
    <w:rPr>
      <w:rFonts w:ascii="Times New Roman" w:cs="Times New Roman" w:eastAsia="Calibri" w:hAnsi="Times New Roman"/>
      <w:sz w:val="26"/>
      <w:szCs w:val="26"/>
      <w:lang w:eastAsia="ru-RU"/>
    </w:rPr>
  </w:style>
  <w:style w:customStyle="1" w:styleId="enumerated" w:type="character">
    <w:name w:val="enumerated"/>
    <w:rsid w:val="007C04AE"/>
    <w:rPr>
      <w:rFonts w:ascii="Calibri" w:cs="Times New Roman" w:eastAsia="Times New Roman" w:hAnsi="Calibri"/>
    </w:rPr>
  </w:style>
  <w:style w:styleId="af3" w:type="paragraph">
    <w:name w:val="Normal (Web)"/>
    <w:basedOn w:val="a"/>
    <w:uiPriority w:val="99"/>
    <w:rsid w:val="007C04AE"/>
    <w:pPr>
      <w:spacing w:after="100" w:afterAutospacing="1" w:before="100" w:beforeAutospacing="1"/>
    </w:pPr>
    <w:rPr>
      <w:rFonts w:ascii="Arial" w:cs="Arial" w:eastAsia="SimSun" w:hAnsi="Arial"/>
      <w:sz w:val="24"/>
      <w:szCs w:val="24"/>
    </w:rPr>
  </w:style>
  <w:style w:customStyle="1" w:styleId="printable1" w:type="character">
    <w:name w:val="printable1"/>
    <w:basedOn w:val="a0"/>
    <w:rsid w:val="007C04AE"/>
    <w:rPr>
      <w:b/>
      <w:bCs/>
    </w:rPr>
  </w:style>
  <w:style w:customStyle="1" w:styleId="ConsPlusCell" w:type="paragraph">
    <w:name w:val="ConsPlusCell"/>
    <w:uiPriority w:val="99"/>
    <w:rsid w:val="00FB59F7"/>
    <w:pPr>
      <w:widowControl w:val="0"/>
      <w:autoSpaceDE w:val="0"/>
      <w:autoSpaceDN w:val="0"/>
      <w:adjustRightInd w:val="0"/>
      <w:spacing w:after="0" w:line="240" w:lineRule="auto"/>
    </w:pPr>
    <w:rPr>
      <w:rFonts w:ascii="Cambria" w:cs="Cambria" w:eastAsia="Times New Roman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cloud.garant.ru/" TargetMode="Externa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hyperlink" Target="http://www.audar-info.ru/docs/lawbooks/?sectId=95319" TargetMode="External"/>
    <Relationship Id="rId5" Type="http://schemas.openxmlformats.org/officeDocument/2006/relationships/webSettings" Target="webSettings.xml"/>
    <Relationship Id="rId10" Type="http://schemas.openxmlformats.org/officeDocument/2006/relationships/hyperlink" Target="http://cloud.garant.ru/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cloud.garant.ru/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7</properties:Pages>
  <properties:Words>1988</properties:Words>
  <properties:Characters>11334</properties:Characters>
  <properties:Lines>94</properties:Lines>
  <properties:Paragraphs>26</properties:Paragraphs>
  <properties:TotalTime>150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13296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2020-12-17T08:57:00Z</dcterms:created>
  <dc:creator>Кравцова Елена</dc:creator>
  <dc:description/>
  <cp:keywords/>
  <cp:lastModifiedBy>docx4j 8.1.6</cp:lastModifiedBy>
  <cp:lastPrinted>2020-12-22T15:54:00Z</cp:lastPrinted>
  <dcterms:modified xmlns:xsi="http://www.w3.org/2001/XMLSchema-instance" xsi:type="dcterms:W3CDTF">2021-01-28T10:05:00Z</dcterms:modified>
  <cp:revision>25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Журавлева Л.В.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бухгалтерского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2021/3/5-485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Учетную политику Национального исследовательского университета «Высшая школа экономики»</vt:lpwstr>
  </prop:property>
  <prop:property name="creatorPost" pid="13" fmtid="{D5CDD505-2E9C-101B-9397-08002B2CF9AE}">
    <vt:lpwstr>Главный бухгалтер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